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eastAsia="宋体"/>
          <w:sz w:val="24"/>
          <w:szCs w:val="24"/>
          <w:lang w:val="en-US" w:eastAsia="zh-CN"/>
        </w:rPr>
      </w:pPr>
      <w:bookmarkStart w:id="0" w:name="_Toc193024528"/>
      <w:r>
        <w:rPr>
          <w:sz w:val="24"/>
          <w:szCs w:val="24"/>
        </w:rPr>
        <w:t>3GPP TSG-RAN WG2 Meeting #12</w:t>
      </w:r>
      <w:r>
        <w:rPr>
          <w:rFonts w:hint="eastAsia" w:eastAsia="宋体"/>
          <w:sz w:val="24"/>
          <w:szCs w:val="24"/>
          <w:lang w:val="en-US" w:eastAsia="zh-CN"/>
        </w:rPr>
        <w:t>2</w:t>
      </w:r>
      <w:r>
        <w:rPr>
          <w:sz w:val="24"/>
          <w:szCs w:val="24"/>
        </w:rPr>
        <w:tab/>
      </w:r>
      <w:r>
        <w:rPr>
          <w:sz w:val="24"/>
          <w:szCs w:val="24"/>
        </w:rPr>
        <w:t>R2-2</w:t>
      </w:r>
      <w:r>
        <w:rPr>
          <w:rFonts w:hint="eastAsia" w:eastAsia="宋体"/>
          <w:sz w:val="24"/>
          <w:szCs w:val="24"/>
          <w:lang w:val="en-US" w:eastAsia="zh-CN"/>
        </w:rPr>
        <w:t>305042</w:t>
      </w:r>
    </w:p>
    <w:p>
      <w:pPr>
        <w:pStyle w:val="33"/>
        <w:tabs>
          <w:tab w:val="left" w:pos="1701"/>
          <w:tab w:val="right" w:pos="9923"/>
        </w:tabs>
        <w:rPr>
          <w:sz w:val="24"/>
          <w:szCs w:val="24"/>
        </w:rPr>
      </w:pPr>
      <w:r>
        <w:rPr>
          <w:sz w:val="24"/>
          <w:szCs w:val="24"/>
        </w:rPr>
        <w:t>Incheon, Korea, May 22-26, 2023</w:t>
      </w:r>
    </w:p>
    <w:p>
      <w:pPr>
        <w:pStyle w:val="32"/>
        <w:jc w:val="both"/>
        <w:rPr>
          <w:rFonts w:eastAsia="宋体"/>
          <w:b w:val="0"/>
          <w:i w:val="0"/>
          <w:sz w:val="24"/>
          <w:lang w:eastAsia="zh-CN"/>
        </w:rPr>
      </w:pP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 xml:space="preserve">Discussion on miscellaneous issues for </w:t>
      </w:r>
      <w:r>
        <w:rPr>
          <w:rFonts w:ascii="Arial" w:hAnsi="Arial"/>
          <w:b/>
          <w:sz w:val="24"/>
          <w:lang w:val="en-US" w:eastAsia="zh-CN"/>
        </w:rPr>
        <w:t>mobile IAB</w:t>
      </w:r>
    </w:p>
    <w:p>
      <w:pPr>
        <w:tabs>
          <w:tab w:val="left" w:pos="1985"/>
        </w:tabs>
        <w:jc w:val="both"/>
        <w:rPr>
          <w:rStyle w:val="160"/>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12</w:t>
      </w:r>
      <w:r>
        <w:rPr>
          <w:rFonts w:ascii="Arial" w:hAnsi="Arial"/>
          <w:b/>
          <w:sz w:val="24"/>
          <w:lang w:val="pt-BR" w:eastAsia="zh-CN"/>
        </w:rPr>
        <w:t>.</w:t>
      </w:r>
      <w:r>
        <w:rPr>
          <w:rFonts w:hint="eastAsia" w:ascii="Arial" w:hAnsi="Arial"/>
          <w:b/>
          <w:sz w:val="24"/>
          <w:lang w:val="en-US" w:eastAsia="zh-CN"/>
        </w:rPr>
        <w:t>3</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spacing w:before="156" w:beforeLines="50"/>
        <w:jc w:val="both"/>
        <w:rPr>
          <w:lang w:val="en-US" w:eastAsia="zh-CN"/>
        </w:rPr>
      </w:pPr>
      <w:r>
        <w:rPr>
          <w:lang w:val="en-US" w:eastAsia="zh-CN"/>
        </w:rPr>
        <w:t xml:space="preserve">In this paper, we will analyze </w:t>
      </w:r>
      <w:r>
        <w:rPr>
          <w:rFonts w:hint="eastAsia"/>
          <w:lang w:val="en-US" w:eastAsia="zh-CN"/>
        </w:rPr>
        <w:t>some miscellaneous issues for the support of mobile IAB, such as TAC/</w:t>
      </w:r>
      <w:r>
        <w:rPr>
          <w:lang w:val="en-US" w:eastAsia="zh-CN"/>
        </w:rPr>
        <w:t>RNA</w:t>
      </w:r>
      <w:r>
        <w:rPr>
          <w:rFonts w:hint="eastAsia"/>
          <w:lang w:val="en-US" w:eastAsia="zh-CN"/>
        </w:rPr>
        <w:t>C</w:t>
      </w:r>
      <w:r>
        <w:rPr>
          <w:lang w:val="en-US" w:eastAsia="zh-CN"/>
        </w:rPr>
        <w:t xml:space="preserve"> configuration</w:t>
      </w:r>
      <w:r>
        <w:rPr>
          <w:rFonts w:hint="eastAsia"/>
          <w:lang w:val="en-US" w:eastAsia="zh-CN"/>
        </w:rPr>
        <w:t>, PCI collision and ANR</w:t>
      </w:r>
      <w:r>
        <w:rPr>
          <w:lang w:val="en-US" w:eastAsia="zh-CN"/>
        </w:rPr>
        <w:t>.</w:t>
      </w:r>
    </w:p>
    <w:p>
      <w:pPr>
        <w:pStyle w:val="2"/>
        <w:jc w:val="both"/>
        <w:rPr>
          <w:lang w:eastAsia="zh-CN"/>
        </w:rPr>
      </w:pPr>
      <w:r>
        <w:rPr>
          <w:rFonts w:hint="eastAsia" w:eastAsia="宋体"/>
          <w:lang w:eastAsia="zh-CN"/>
        </w:rPr>
        <w:t>Discussion</w:t>
      </w:r>
    </w:p>
    <w:p>
      <w:pPr>
        <w:pStyle w:val="3"/>
        <w:bidi w:val="0"/>
        <w:rPr>
          <w:lang w:eastAsia="zh-CN"/>
        </w:rPr>
      </w:pPr>
      <w:r>
        <w:rPr>
          <w:rFonts w:hint="eastAsia"/>
          <w:lang w:val="en-US" w:eastAsia="zh-CN"/>
        </w:rPr>
        <w:t>TAC and RNAC configuration</w:t>
      </w:r>
    </w:p>
    <w:p>
      <w:pPr>
        <w:pStyle w:val="4"/>
        <w:bidi w:val="0"/>
        <w:rPr>
          <w:lang w:val="en-US" w:eastAsia="zh-CN"/>
        </w:rPr>
      </w:pPr>
      <w:r>
        <w:rPr>
          <w:rFonts w:hint="eastAsia"/>
          <w:lang w:val="en-US" w:eastAsia="zh-CN"/>
        </w:rPr>
        <w:t>TA configuration</w:t>
      </w:r>
    </w:p>
    <w:p>
      <w:pPr>
        <w:overflowPunct w:val="0"/>
        <w:autoSpaceDE w:val="0"/>
        <w:autoSpaceDN w:val="0"/>
        <w:adjustRightInd w:val="0"/>
        <w:spacing w:before="156" w:beforeLines="50"/>
        <w:jc w:val="both"/>
        <w:rPr>
          <w:rStyle w:val="167"/>
          <w:rFonts w:hint="default" w:ascii="Times New Roman" w:hAnsi="Times New Roman" w:cs="Times New Roman"/>
          <w:b w:val="0"/>
          <w:bCs w:val="0"/>
          <w:color w:val="auto"/>
          <w:sz w:val="20"/>
          <w:szCs w:val="20"/>
          <w:u w:val="none"/>
        </w:rPr>
      </w:pPr>
      <w:r>
        <w:rPr>
          <w:rFonts w:hint="eastAsia"/>
          <w:lang w:val="en-US" w:eastAsia="zh-CN"/>
        </w:rPr>
        <w:t>During RAN3#119 meeting</w:t>
      </w:r>
      <w:r>
        <w:rPr>
          <w:lang w:val="en-US" w:eastAsia="zh-CN"/>
        </w:rPr>
        <w:t xml:space="preserve">, RAN3 </w:t>
      </w:r>
      <w:r>
        <w:rPr>
          <w:rFonts w:hint="eastAsia"/>
          <w:lang w:val="en-US" w:eastAsia="zh-CN"/>
        </w:rPr>
        <w:t>agreed that</w:t>
      </w:r>
      <w:r>
        <w:rPr>
          <w:rFonts w:ascii="Calibri" w:hAnsi="Calibri" w:cs="Calibri"/>
          <w:b/>
          <w:color w:val="008000"/>
          <w:sz w:val="18"/>
          <w:szCs w:val="18"/>
          <w:lang w:eastAsia="en-US"/>
        </w:rPr>
        <w:t xml:space="preserve"> </w:t>
      </w:r>
      <w:r>
        <w:rPr>
          <w:rFonts w:hint="default" w:ascii="Times New Roman" w:hAnsi="Times New Roman" w:cs="Times New Roman"/>
          <w:b w:val="0"/>
          <w:bCs/>
          <w:color w:val="auto"/>
          <w:sz w:val="20"/>
          <w:szCs w:val="20"/>
          <w:lang w:eastAsia="en-US"/>
        </w:rPr>
        <w:t>TAC/RANAC broadcast by the mobile IAB-DU can be changed in order to reflect the mIAB-node’s physical location</w:t>
      </w:r>
      <w:r>
        <w:rPr>
          <w:rFonts w:hint="default" w:ascii="Times New Roman" w:hAnsi="Times New Roman" w:cs="Times New Roman"/>
          <w:b w:val="0"/>
          <w:bCs/>
          <w:color w:val="auto"/>
          <w:sz w:val="20"/>
          <w:szCs w:val="20"/>
          <w:lang w:val="en-US" w:eastAsia="zh-CN"/>
        </w:rPr>
        <w:t xml:space="preserve">. </w:t>
      </w:r>
      <w:r>
        <w:rPr>
          <w:rFonts w:hint="eastAsia"/>
          <w:lang w:val="en-US" w:eastAsia="zh-CN"/>
        </w:rPr>
        <w:t>Moreover, RAN3 agreed in RAN3#119bis meeting that</w:t>
      </w:r>
      <w:r>
        <w:rPr>
          <w:rFonts w:hint="default" w:ascii="Times New Roman" w:hAnsi="Times New Roman" w:cs="Times New Roman"/>
          <w:b w:val="0"/>
          <w:bCs w:val="0"/>
          <w:color w:val="auto"/>
          <w:sz w:val="20"/>
          <w:szCs w:val="20"/>
          <w:lang w:val="en-US" w:eastAsia="zh-CN"/>
        </w:rPr>
        <w:t xml:space="preserve"> </w:t>
      </w:r>
      <w:r>
        <w:rPr>
          <w:rStyle w:val="167"/>
          <w:rFonts w:hint="default" w:ascii="Times New Roman" w:hAnsi="Times New Roman" w:cs="Times New Roman"/>
          <w:b w:val="0"/>
          <w:bCs w:val="0"/>
          <w:color w:val="auto"/>
          <w:sz w:val="20"/>
          <w:szCs w:val="20"/>
          <w:u w:val="none"/>
          <w:lang w:val="en-US" w:eastAsia="zh-CN"/>
        </w:rPr>
        <w:t>t</w:t>
      </w:r>
      <w:r>
        <w:rPr>
          <w:rStyle w:val="167"/>
          <w:rFonts w:hint="default" w:ascii="Times New Roman" w:hAnsi="Times New Roman" w:cs="Times New Roman"/>
          <w:b w:val="0"/>
          <w:bCs w:val="0"/>
          <w:color w:val="auto"/>
          <w:sz w:val="20"/>
          <w:szCs w:val="20"/>
          <w:u w:val="none"/>
        </w:rPr>
        <w:t>he IAB-DU’s TAC can have the same or a different value than the TAC of the mIAB-MT’s serving cell.</w:t>
      </w:r>
    </w:p>
    <w:p>
      <w:pPr>
        <w:jc w:val="both"/>
        <w:rPr>
          <w:rFonts w:hint="default"/>
          <w:lang w:val="en-US" w:eastAsia="zh-CN"/>
        </w:rPr>
      </w:pPr>
      <w:r>
        <w:rPr>
          <w:rFonts w:hint="eastAsia"/>
          <w:lang w:val="en-US" w:eastAsia="zh-CN"/>
        </w:rPr>
        <w:t xml:space="preserve">In our opinion, </w:t>
      </w:r>
      <w:r>
        <w:rPr>
          <w:lang w:val="en-US" w:eastAsia="zh-CN"/>
        </w:rPr>
        <w:t xml:space="preserve">TAC update of mobile IAB node may occur when the mobile IAB-node perform intra-gNB partial migration or inter-gNB partial migration or full migration. </w:t>
      </w:r>
      <w:r>
        <w:rPr>
          <w:rFonts w:hint="eastAsia"/>
          <w:lang w:val="en-US" w:eastAsia="zh-CN"/>
        </w:rPr>
        <w:t>T</w:t>
      </w:r>
      <w:r>
        <w:rPr>
          <w:lang w:val="en-US" w:eastAsia="zh-CN"/>
        </w:rPr>
        <w:t>he new TAC value can be configured to mobile IAB-DU via F1 signaling</w:t>
      </w:r>
      <w:r>
        <w:rPr>
          <w:rFonts w:hint="eastAsia"/>
          <w:lang w:val="en-US" w:eastAsia="zh-CN"/>
        </w:rPr>
        <w:t xml:space="preserve"> </w:t>
      </w:r>
      <w:r>
        <w:rPr>
          <w:lang w:val="en-US" w:eastAsia="zh-CN"/>
        </w:rPr>
        <w:t xml:space="preserve">or RRC signaling (e.g. </w:t>
      </w:r>
      <w:r>
        <w:t>RRCReconfiguration</w:t>
      </w:r>
      <w:r>
        <w:rPr>
          <w:lang w:val="en-US" w:eastAsia="zh-CN"/>
        </w:rPr>
        <w:t>) and then mobile IAB-MT transport the TAC value to its collocated mobile IAB-DU.</w:t>
      </w:r>
      <w:r>
        <w:rPr>
          <w:rFonts w:hint="eastAsia"/>
          <w:lang w:val="en-US" w:eastAsia="zh-CN"/>
        </w:rPr>
        <w:t xml:space="preserve"> </w:t>
      </w:r>
      <w:r>
        <w:rPr>
          <w:b w:val="0"/>
          <w:bCs/>
          <w:lang w:val="en-US" w:eastAsia="zh-CN"/>
        </w:rPr>
        <w:t>For inter-</w:t>
      </w:r>
      <w:r>
        <w:rPr>
          <w:rFonts w:hint="eastAsia"/>
          <w:b w:val="0"/>
          <w:bCs/>
          <w:lang w:val="en-US" w:eastAsia="zh-CN"/>
        </w:rPr>
        <w:t xml:space="preserve">donor </w:t>
      </w:r>
      <w:r>
        <w:rPr>
          <w:b w:val="0"/>
          <w:bCs/>
          <w:lang w:val="en-US" w:eastAsia="zh-CN"/>
        </w:rPr>
        <w:t>partial migration</w:t>
      </w:r>
      <w:r>
        <w:rPr>
          <w:rFonts w:hint="eastAsia"/>
          <w:b w:val="0"/>
          <w:bCs/>
          <w:lang w:val="en-US" w:eastAsia="zh-CN"/>
        </w:rPr>
        <w:t xml:space="preserve"> or full migration with mobile IAB-MT and mobile IAB-DU migrating to different donors</w:t>
      </w:r>
      <w:r>
        <w:rPr>
          <w:b w:val="0"/>
          <w:bCs/>
          <w:lang w:val="en-US" w:eastAsia="zh-CN"/>
        </w:rPr>
        <w:t>, if gNB determine</w:t>
      </w:r>
      <w:r>
        <w:rPr>
          <w:rFonts w:hint="eastAsia"/>
          <w:b w:val="0"/>
          <w:bCs/>
          <w:lang w:val="en-US" w:eastAsia="zh-CN"/>
        </w:rPr>
        <w:t>s</w:t>
      </w:r>
      <w:r>
        <w:rPr>
          <w:b w:val="0"/>
          <w:bCs/>
          <w:lang w:val="en-US" w:eastAsia="zh-CN"/>
        </w:rPr>
        <w:t xml:space="preserve"> to configure a new TAC value to mobile IAB node via F1 signaling, then mobile IAB-DU’s donor need to acquire some essential TAC information from mobile IAB-MT’s donor via Xn or NG</w:t>
      </w:r>
      <w:r>
        <w:rPr>
          <w:rFonts w:hint="eastAsia"/>
          <w:b w:val="0"/>
          <w:bCs/>
          <w:lang w:val="en-US" w:eastAsia="zh-CN"/>
        </w:rPr>
        <w:t>, which means</w:t>
      </w:r>
      <w:r>
        <w:t xml:space="preserve"> more spec</w:t>
      </w:r>
      <w:r>
        <w:rPr>
          <w:rFonts w:hint="eastAsia"/>
          <w:lang w:val="en-US" w:eastAsia="zh-CN"/>
        </w:rPr>
        <w:t>ification</w:t>
      </w:r>
      <w:r>
        <w:t xml:space="preserve"> impact</w:t>
      </w:r>
      <w:r>
        <w:rPr>
          <w:rFonts w:hint="eastAsia"/>
          <w:lang w:val="en-US" w:eastAsia="zh-CN"/>
        </w:rPr>
        <w:t xml:space="preserve"> should be considered.</w:t>
      </w:r>
    </w:p>
    <w:p>
      <w:pPr>
        <w:jc w:val="both"/>
        <w:rPr>
          <w:rFonts w:hint="eastAsia"/>
          <w:b w:val="0"/>
          <w:bCs/>
          <w:lang w:val="en-US" w:eastAsia="zh-CN"/>
        </w:rPr>
      </w:pPr>
      <w:r>
        <w:rPr>
          <w:rFonts w:hint="eastAsia"/>
          <w:b w:val="0"/>
          <w:bCs/>
          <w:lang w:val="en-US" w:eastAsia="zh-CN"/>
        </w:rPr>
        <w:t>With regard to the RRC signalling based approach, two options are mentioned during last meeting as follows:</w:t>
      </w:r>
    </w:p>
    <w:p>
      <w:pPr>
        <w:numPr>
          <w:ilvl w:val="0"/>
          <w:numId w:val="0"/>
        </w:numPr>
        <w:jc w:val="both"/>
        <w:rPr>
          <w:rFonts w:hint="default"/>
          <w:b w:val="0"/>
          <w:bCs/>
          <w:lang w:val="en-US" w:eastAsia="zh-CN"/>
        </w:rPr>
      </w:pPr>
      <w:r>
        <w:rPr>
          <w:rFonts w:hint="eastAsia"/>
          <w:lang w:val="en-US" w:eastAsia="zh-CN"/>
        </w:rPr>
        <w:t>Option 1: Mobile IAB-MT reads the TAC broadcast by its parent cell and delivers it to the co-located DU</w:t>
      </w:r>
    </w:p>
    <w:p>
      <w:pPr>
        <w:numPr>
          <w:ilvl w:val="0"/>
          <w:numId w:val="0"/>
        </w:numPr>
        <w:ind w:leftChars="0"/>
        <w:jc w:val="both"/>
        <w:rPr>
          <w:rFonts w:hint="default"/>
          <w:b w:val="0"/>
          <w:bCs/>
          <w:lang w:val="en-US" w:eastAsia="zh-CN"/>
        </w:rPr>
      </w:pPr>
      <w:r>
        <w:rPr>
          <w:rFonts w:hint="eastAsia"/>
          <w:b w:val="0"/>
          <w:bCs/>
          <w:lang w:val="en-US" w:eastAsia="zh-CN"/>
        </w:rPr>
        <w:t>Option 2: Mobile IAB-MT receives the TAC configured by target donor CU via dedicated signalling and delivers it to the co-located DU</w:t>
      </w:r>
    </w:p>
    <w:p>
      <w:pPr>
        <w:jc w:val="both"/>
        <w:rPr>
          <w:rFonts w:hint="eastAsia"/>
          <w:lang w:val="en-US" w:eastAsia="zh-CN"/>
        </w:rPr>
      </w:pPr>
      <w:r>
        <w:rPr>
          <w:rFonts w:hint="eastAsia"/>
          <w:b w:val="0"/>
          <w:bCs w:val="0"/>
          <w:lang w:val="en-US" w:eastAsia="zh-CN"/>
        </w:rPr>
        <w:t xml:space="preserve">For Option 1, if the legacy </w:t>
      </w:r>
      <w:r>
        <w:rPr>
          <w:rFonts w:hint="eastAsia"/>
          <w:lang w:val="en-US" w:eastAsia="zh-CN"/>
        </w:rPr>
        <w:t>TAC broadcast by mobile IAB-MT</w:t>
      </w:r>
      <w:r>
        <w:rPr>
          <w:rFonts w:hint="default"/>
          <w:lang w:val="en-US" w:eastAsia="zh-CN"/>
        </w:rPr>
        <w:t>’</w:t>
      </w:r>
      <w:r>
        <w:rPr>
          <w:rFonts w:hint="eastAsia"/>
          <w:lang w:val="en-US" w:eastAsia="zh-CN"/>
        </w:rPr>
        <w:t>s parent cell is directly used for mobile IAB-DU, it means that the TAC of mobile IAB-DU</w:t>
      </w:r>
      <w:r>
        <w:rPr>
          <w:rFonts w:hint="default"/>
          <w:lang w:val="en-US" w:eastAsia="zh-CN"/>
        </w:rPr>
        <w:t>’</w:t>
      </w:r>
      <w:r>
        <w:rPr>
          <w:rFonts w:hint="eastAsia"/>
          <w:lang w:val="en-US" w:eastAsia="zh-CN"/>
        </w:rPr>
        <w:t>s cell aligned with the TAC broadcast by mobile IAB-MT</w:t>
      </w:r>
      <w:r>
        <w:rPr>
          <w:rFonts w:hint="default"/>
          <w:lang w:val="en-US" w:eastAsia="zh-CN"/>
        </w:rPr>
        <w:t>’</w:t>
      </w:r>
      <w:r>
        <w:rPr>
          <w:rFonts w:hint="eastAsia"/>
          <w:lang w:val="en-US" w:eastAsia="zh-CN"/>
        </w:rPr>
        <w:t>s parent cell. However, it</w:t>
      </w:r>
      <w:r>
        <w:rPr>
          <w:rFonts w:hint="default"/>
          <w:lang w:val="en-US" w:eastAsia="zh-CN"/>
        </w:rPr>
        <w:t>’</w:t>
      </w:r>
      <w:r>
        <w:rPr>
          <w:rFonts w:hint="eastAsia"/>
          <w:lang w:val="en-US" w:eastAsia="zh-CN"/>
        </w:rPr>
        <w:t xml:space="preserve">s not optimal since there may be some problem in </w:t>
      </w:r>
      <w:r>
        <w:t>forbidden Tracking Area mechanism</w:t>
      </w:r>
      <w:r>
        <w:rPr>
          <w:rFonts w:hint="eastAsia"/>
          <w:lang w:val="en-US" w:eastAsia="zh-CN"/>
        </w:rPr>
        <w:t>. Based on TS 23.501, f</w:t>
      </w:r>
      <w:r>
        <w:t>or the UE that does not support CAG functionality, NG-RAN and 5GC are allowed to use not only CAG mechanism but also the other existing mechanism e.g. forbidden Tracking Area, to manage its access to MBSR.</w:t>
      </w:r>
      <w:r>
        <w:rPr>
          <w:rFonts w:hint="eastAsia"/>
          <w:lang w:val="en-US" w:eastAsia="zh-CN"/>
        </w:rPr>
        <w:t xml:space="preserve"> In order to differentiate the TA neighboring cells, it would be better for the mobile IAB-MT</w:t>
      </w:r>
      <w:r>
        <w:rPr>
          <w:rFonts w:hint="default"/>
          <w:lang w:val="en-US" w:eastAsia="zh-CN"/>
        </w:rPr>
        <w:t>’</w:t>
      </w:r>
      <w:r>
        <w:rPr>
          <w:rFonts w:hint="eastAsia"/>
          <w:lang w:val="en-US" w:eastAsia="zh-CN"/>
        </w:rPr>
        <w:t>s parent cell broadcast a new TAC specific for mobile IAB node in addition to the legacy TAC.</w:t>
      </w:r>
    </w:p>
    <w:p>
      <w:pPr>
        <w:jc w:val="both"/>
        <w:rPr>
          <w:rFonts w:hint="default" w:eastAsia="宋体"/>
          <w:lang w:val="en-US" w:eastAsia="zh-CN"/>
        </w:rPr>
      </w:pPr>
      <w:r>
        <w:rPr>
          <w:rFonts w:hint="eastAsia"/>
          <w:lang w:val="en-US" w:eastAsia="zh-CN"/>
        </w:rPr>
        <w:t>For Option 2, the when mobile IAB-MT performs handover, the target donor CU may deliver the new TAC to mobile IAB-MT via RRCReconfiguration message and then the mobile IAB-MT delivers this new</w:t>
      </w:r>
      <w:r>
        <w:t xml:space="preserve"> TAC value to its collocated mobile IAB-DU</w:t>
      </w:r>
      <w:r>
        <w:rPr>
          <w:rFonts w:hint="eastAsia"/>
          <w:lang w:val="en-US" w:eastAsia="zh-CN"/>
        </w:rPr>
        <w:t xml:space="preserve">. Finally, the mobile IAB-DU broadcast this new TAC to UEs served by this mobile IAB-DU. </w:t>
      </w:r>
    </w:p>
    <w:p>
      <w:pPr>
        <w:overflowPunct w:val="0"/>
        <w:autoSpaceDE w:val="0"/>
        <w:autoSpaceDN w:val="0"/>
        <w:adjustRightInd w:val="0"/>
        <w:spacing w:before="156" w:beforeLines="50"/>
        <w:jc w:val="both"/>
        <w:rPr>
          <w:b/>
          <w:bCs/>
          <w:lang w:val="en-US" w:eastAsia="zh-CN"/>
        </w:rPr>
      </w:pPr>
      <w:r>
        <w:rPr>
          <w:rFonts w:hint="eastAsia"/>
          <w:b/>
          <w:bCs/>
          <w:lang w:val="en-US" w:eastAsia="zh-CN"/>
        </w:rPr>
        <w:t xml:space="preserve">Proposal 1: </w:t>
      </w:r>
      <w:r>
        <w:rPr>
          <w:b/>
          <w:bCs/>
        </w:rPr>
        <w:t>Mobile IAB-MT</w:t>
      </w:r>
      <w:r>
        <w:rPr>
          <w:rFonts w:hint="eastAsia"/>
          <w:b/>
          <w:bCs/>
          <w:lang w:val="en-US" w:eastAsia="zh-CN"/>
        </w:rPr>
        <w:t xml:space="preserve"> may receive </w:t>
      </w:r>
      <w:r>
        <w:rPr>
          <w:b/>
          <w:bCs/>
        </w:rPr>
        <w:t>a</w:t>
      </w:r>
      <w:r>
        <w:rPr>
          <w:rFonts w:hint="eastAsia"/>
          <w:b/>
          <w:bCs/>
          <w:lang w:val="en-US" w:eastAsia="zh-CN"/>
        </w:rPr>
        <w:t xml:space="preserve"> new</w:t>
      </w:r>
      <w:r>
        <w:rPr>
          <w:b/>
          <w:bCs/>
        </w:rPr>
        <w:t xml:space="preserve"> TAC value </w:t>
      </w:r>
      <w:r>
        <w:rPr>
          <w:rFonts w:hint="eastAsia"/>
          <w:b/>
          <w:bCs/>
          <w:lang w:val="en-US" w:eastAsia="zh-CN"/>
        </w:rPr>
        <w:t xml:space="preserve">for mobile IAB node either from system information or from dedicated signalling from donor CU during mobile IAB-MT HO </w:t>
      </w:r>
      <w:r>
        <w:rPr>
          <w:b/>
          <w:bCs/>
        </w:rPr>
        <w:t xml:space="preserve">and then mobile IAB-MT </w:t>
      </w:r>
      <w:r>
        <w:rPr>
          <w:rFonts w:hint="eastAsia"/>
          <w:b/>
          <w:bCs/>
        </w:rPr>
        <w:t>delivers</w:t>
      </w:r>
      <w:r>
        <w:rPr>
          <w:b/>
          <w:bCs/>
        </w:rPr>
        <w:t xml:space="preserve"> the </w:t>
      </w:r>
      <w:r>
        <w:rPr>
          <w:rFonts w:hint="eastAsia"/>
          <w:b/>
          <w:bCs/>
          <w:lang w:val="en-US" w:eastAsia="zh-CN"/>
        </w:rPr>
        <w:t xml:space="preserve">new </w:t>
      </w:r>
      <w:r>
        <w:rPr>
          <w:b/>
          <w:bCs/>
        </w:rPr>
        <w:t>TAC value</w:t>
      </w:r>
      <w:r>
        <w:rPr>
          <w:rFonts w:hint="eastAsia"/>
          <w:b/>
          <w:bCs/>
          <w:lang w:val="en-US" w:eastAsia="zh-CN"/>
        </w:rPr>
        <w:t xml:space="preserve"> specific for mobile IAB node</w:t>
      </w:r>
      <w:r>
        <w:rPr>
          <w:b/>
          <w:bCs/>
        </w:rPr>
        <w:t xml:space="preserve"> to its collocated mobile IAB-DU for SIB broadcasting</w:t>
      </w:r>
      <w:r>
        <w:rPr>
          <w:rFonts w:hint="eastAsia"/>
          <w:b/>
          <w:bCs/>
        </w:rPr>
        <w:t>.</w:t>
      </w:r>
    </w:p>
    <w:p>
      <w:pPr>
        <w:pStyle w:val="4"/>
        <w:bidi w:val="0"/>
        <w:rPr>
          <w:lang w:val="en-US" w:eastAsia="zh-CN"/>
        </w:rPr>
      </w:pPr>
      <w:r>
        <w:rPr>
          <w:rFonts w:hint="eastAsia"/>
          <w:lang w:val="en-US" w:eastAsia="zh-CN"/>
        </w:rPr>
        <w:t>RNA configuration</w:t>
      </w:r>
    </w:p>
    <w:p>
      <w:pPr>
        <w:overflowPunct w:val="0"/>
        <w:autoSpaceDE w:val="0"/>
        <w:autoSpaceDN w:val="0"/>
        <w:adjustRightInd w:val="0"/>
        <w:spacing w:before="156" w:beforeLines="50"/>
        <w:jc w:val="both"/>
        <w:rPr>
          <w:sz w:val="20"/>
          <w:szCs w:val="20"/>
          <w:lang w:val="en-US" w:eastAsia="zh-CN"/>
        </w:rPr>
      </w:pPr>
      <w:r>
        <w:rPr>
          <w:rFonts w:hint="eastAsia"/>
          <w:sz w:val="20"/>
          <w:szCs w:val="20"/>
          <w:lang w:val="en-US" w:eastAsia="zh-CN"/>
        </w:rPr>
        <w:t xml:space="preserve">For NR system, the UE is allowed to enter RRC_INACTIVE state. Before entering the RRC_INACTIVE state, the UE is configured by the last serving gNB with an RNA. The RNA can cover one or multiple cells, and should be </w:t>
      </w:r>
      <w:r>
        <w:rPr>
          <w:sz w:val="20"/>
          <w:szCs w:val="20"/>
        </w:rPr>
        <w:t xml:space="preserve">a subset of </w:t>
      </w:r>
      <w:r>
        <w:rPr>
          <w:rFonts w:hint="eastAsia"/>
          <w:sz w:val="20"/>
          <w:szCs w:val="20"/>
          <w:lang w:val="en-US" w:eastAsia="zh-CN"/>
        </w:rPr>
        <w:t xml:space="preserve">or equal to </w:t>
      </w:r>
      <w:r>
        <w:rPr>
          <w:sz w:val="20"/>
          <w:szCs w:val="20"/>
        </w:rPr>
        <w:t>a CN Tracking Area</w:t>
      </w:r>
      <w:r>
        <w:rPr>
          <w:rFonts w:hint="eastAsia"/>
          <w:sz w:val="20"/>
          <w:szCs w:val="20"/>
          <w:lang w:val="en-US" w:eastAsia="zh-CN"/>
        </w:rPr>
        <w:t xml:space="preserve">. To be specific, the RNA may be configured via a list of cells or a list of RAN Area Code (RANAC) or TAC for different PLMNs. The involved cells will </w:t>
      </w:r>
      <w:r>
        <w:rPr>
          <w:sz w:val="20"/>
          <w:szCs w:val="20"/>
        </w:rPr>
        <w:t xml:space="preserve">broadcast one </w:t>
      </w:r>
      <w:r>
        <w:rPr>
          <w:rFonts w:hint="eastAsia"/>
          <w:sz w:val="20"/>
          <w:szCs w:val="20"/>
          <w:lang w:val="en-US" w:eastAsia="zh-CN"/>
        </w:rPr>
        <w:t>RANAC</w:t>
      </w:r>
      <w:r>
        <w:rPr>
          <w:sz w:val="20"/>
          <w:szCs w:val="20"/>
        </w:rPr>
        <w:t xml:space="preserve"> in the </w:t>
      </w:r>
      <w:r>
        <w:rPr>
          <w:rFonts w:hint="eastAsia"/>
          <w:sz w:val="20"/>
          <w:szCs w:val="20"/>
          <w:lang w:val="en-US" w:eastAsia="zh-CN"/>
        </w:rPr>
        <w:t>SIB1 if the RNA is defined via RANAC</w:t>
      </w:r>
      <w:r>
        <w:rPr>
          <w:sz w:val="20"/>
          <w:szCs w:val="20"/>
        </w:rPr>
        <w:t>.</w:t>
      </w:r>
      <w:r>
        <w:rPr>
          <w:rFonts w:hint="eastAsia"/>
          <w:sz w:val="20"/>
          <w:szCs w:val="20"/>
          <w:lang w:val="en-US" w:eastAsia="zh-CN"/>
        </w:rPr>
        <w:t xml:space="preserve"> UE needs to perform RNAU</w:t>
      </w:r>
      <w:r>
        <w:rPr>
          <w:sz w:val="20"/>
          <w:szCs w:val="20"/>
        </w:rPr>
        <w:t xml:space="preserve"> when the UE </w:t>
      </w:r>
      <w:r>
        <w:rPr>
          <w:rFonts w:hint="eastAsia"/>
          <w:sz w:val="20"/>
          <w:szCs w:val="20"/>
          <w:lang w:val="en-US" w:eastAsia="zh-CN"/>
        </w:rPr>
        <w:t>re-</w:t>
      </w:r>
      <w:r>
        <w:rPr>
          <w:sz w:val="20"/>
          <w:szCs w:val="20"/>
        </w:rPr>
        <w:t xml:space="preserve">selects a cell that does not belong to </w:t>
      </w:r>
      <w:r>
        <w:rPr>
          <w:rFonts w:hint="eastAsia"/>
          <w:sz w:val="20"/>
          <w:szCs w:val="20"/>
          <w:lang w:val="en-US" w:eastAsia="zh-CN"/>
        </w:rPr>
        <w:t>its previously</w:t>
      </w:r>
      <w:r>
        <w:rPr>
          <w:sz w:val="20"/>
          <w:szCs w:val="20"/>
        </w:rPr>
        <w:t xml:space="preserve"> configured RNA.</w:t>
      </w:r>
      <w:r>
        <w:rPr>
          <w:rFonts w:hint="eastAsia"/>
          <w:sz w:val="20"/>
          <w:szCs w:val="20"/>
          <w:lang w:val="en-US" w:eastAsia="zh-CN"/>
        </w:rPr>
        <w:t xml:space="preserve"> When UE performs RNAU, it may initiate the RRC connection resumption procedure toward gNB, </w:t>
      </w:r>
      <w:r>
        <w:rPr>
          <w:rFonts w:eastAsia="MS Mincho"/>
          <w:sz w:val="20"/>
          <w:szCs w:val="20"/>
        </w:rPr>
        <w:t>providing the I-RNTI allocated by the last serving gNB and appropriate cause value.</w:t>
      </w:r>
      <w:r>
        <w:rPr>
          <w:rFonts w:hint="eastAsia"/>
          <w:sz w:val="20"/>
          <w:szCs w:val="20"/>
          <w:lang w:val="en-US" w:eastAsia="zh-CN"/>
        </w:rPr>
        <w:t xml:space="preserve"> </w:t>
      </w:r>
    </w:p>
    <w:p>
      <w:pPr>
        <w:overflowPunct w:val="0"/>
        <w:autoSpaceDE w:val="0"/>
        <w:autoSpaceDN w:val="0"/>
        <w:adjustRightInd w:val="0"/>
        <w:spacing w:before="156" w:beforeLines="50"/>
        <w:jc w:val="both"/>
        <w:rPr>
          <w:sz w:val="20"/>
          <w:szCs w:val="20"/>
          <w:lang w:val="en-US" w:eastAsia="zh-CN"/>
        </w:rPr>
      </w:pPr>
      <w:r>
        <w:rPr>
          <w:rFonts w:hint="eastAsia"/>
          <w:sz w:val="20"/>
          <w:szCs w:val="20"/>
          <w:lang w:val="en-US" w:eastAsia="zh-CN"/>
        </w:rPr>
        <w:t xml:space="preserve">With it comes to the mobile IAB scenario, the mobile IAB node moves together with the vehicles, which may be across different RNAs. As agreed in RAN3, the </w:t>
      </w:r>
      <w:r>
        <w:rPr>
          <w:rFonts w:hint="default" w:ascii="Times New Roman" w:hAnsi="Times New Roman" w:cs="Times New Roman"/>
          <w:b w:val="0"/>
          <w:bCs/>
          <w:color w:val="auto"/>
          <w:sz w:val="20"/>
          <w:szCs w:val="20"/>
          <w:lang w:eastAsia="en-US"/>
        </w:rPr>
        <w:t>TAC/RANAC broadcast by the mobile IAB-DU can be changed in order to reflect the mIAB-node’s physical location.</w:t>
      </w:r>
      <w:r>
        <w:rPr>
          <w:rFonts w:hint="default" w:ascii="Times New Roman" w:hAnsi="Times New Roman" w:cs="Times New Roman"/>
          <w:b w:val="0"/>
          <w:bCs/>
          <w:color w:val="auto"/>
          <w:sz w:val="20"/>
          <w:szCs w:val="20"/>
          <w:lang w:val="en-US" w:eastAsia="zh-CN"/>
        </w:rPr>
        <w:t xml:space="preserve"> </w:t>
      </w:r>
      <w:r>
        <w:rPr>
          <w:rFonts w:hint="eastAsia" w:cs="Times New Roman"/>
          <w:b w:val="0"/>
          <w:bCs/>
          <w:color w:val="auto"/>
          <w:sz w:val="20"/>
          <w:szCs w:val="20"/>
          <w:lang w:val="en-US" w:eastAsia="zh-CN"/>
        </w:rPr>
        <w:t>To be specific, w</w:t>
      </w:r>
      <w:r>
        <w:rPr>
          <w:rFonts w:hint="eastAsia"/>
          <w:sz w:val="20"/>
          <w:szCs w:val="20"/>
          <w:lang w:val="en-US" w:eastAsia="zh-CN"/>
        </w:rPr>
        <w:t xml:space="preserve">hen the mobile IAB-node performs HO from source donor to target donor, the mobile IAB-MT may detect that </w:t>
      </w:r>
      <w:r>
        <w:rPr>
          <w:sz w:val="20"/>
          <w:szCs w:val="20"/>
        </w:rPr>
        <w:t xml:space="preserve">the </w:t>
      </w:r>
      <w:r>
        <w:rPr>
          <w:rFonts w:hint="eastAsia"/>
          <w:sz w:val="20"/>
          <w:szCs w:val="20"/>
          <w:lang w:val="en-US" w:eastAsia="zh-CN"/>
        </w:rPr>
        <w:t>RANAC/TAC of target donor</w:t>
      </w:r>
      <w:r>
        <w:rPr>
          <w:sz w:val="20"/>
          <w:szCs w:val="20"/>
          <w:lang w:val="en-US" w:eastAsia="zh-CN"/>
        </w:rPr>
        <w:t>’</w:t>
      </w:r>
      <w:r>
        <w:rPr>
          <w:rFonts w:hint="eastAsia"/>
          <w:sz w:val="20"/>
          <w:szCs w:val="20"/>
          <w:lang w:val="en-US" w:eastAsia="zh-CN"/>
        </w:rPr>
        <w:t>s cell is different from the RANAC/TAC broadcast by co-located mobile IAB-DU. In order to keep the UE reachability within RAN area, the mobile IAB-DU</w:t>
      </w:r>
      <w:r>
        <w:rPr>
          <w:sz w:val="20"/>
          <w:szCs w:val="20"/>
          <w:lang w:val="en-US" w:eastAsia="zh-CN"/>
        </w:rPr>
        <w:t>’</w:t>
      </w:r>
      <w:r>
        <w:rPr>
          <w:rFonts w:hint="eastAsia"/>
          <w:sz w:val="20"/>
          <w:szCs w:val="20"/>
          <w:lang w:val="en-US" w:eastAsia="zh-CN"/>
        </w:rPr>
        <w:t>s cells may change the RANAC values broadcast in system information to keep align with the cell of parent donor. Alternatively, the target donor CU may send the RANAC/TAC configuration to mobile IAB-MT via RRC signalling during mobile IAB-MT migration procedure and then mobile IAB-DU</w:t>
      </w:r>
      <w:r>
        <w:rPr>
          <w:sz w:val="20"/>
          <w:szCs w:val="20"/>
          <w:lang w:val="en-US" w:eastAsia="zh-CN"/>
        </w:rPr>
        <w:t>’</w:t>
      </w:r>
      <w:r>
        <w:rPr>
          <w:rFonts w:hint="eastAsia"/>
          <w:sz w:val="20"/>
          <w:szCs w:val="20"/>
          <w:lang w:val="en-US" w:eastAsia="zh-CN"/>
        </w:rPr>
        <w:t xml:space="preserve">s cell broadcast this RANAC/TAC value in system information. </w:t>
      </w:r>
    </w:p>
    <w:p>
      <w:pPr>
        <w:jc w:val="both"/>
        <w:rPr>
          <w:rFonts w:hint="eastAsia"/>
          <w:b/>
          <w:bCs/>
          <w:sz w:val="20"/>
          <w:szCs w:val="20"/>
          <w:lang w:val="en-US" w:eastAsia="zh-CN"/>
        </w:rPr>
      </w:pPr>
      <w:r>
        <w:rPr>
          <w:rFonts w:hint="eastAsia"/>
          <w:sz w:val="20"/>
          <w:szCs w:val="20"/>
          <w:lang w:val="en-US" w:eastAsia="zh-CN"/>
        </w:rPr>
        <w:t>In order to reduce the RNAU of RRC_INACTIVE UEs served by the mobile IAB-DU</w:t>
      </w:r>
      <w:r>
        <w:rPr>
          <w:sz w:val="20"/>
          <w:szCs w:val="20"/>
          <w:lang w:val="en-US" w:eastAsia="zh-CN"/>
        </w:rPr>
        <w:t>’</w:t>
      </w:r>
      <w:r>
        <w:rPr>
          <w:rFonts w:hint="eastAsia"/>
          <w:sz w:val="20"/>
          <w:szCs w:val="20"/>
          <w:lang w:val="en-US" w:eastAsia="zh-CN"/>
        </w:rPr>
        <w:t>s cell, it is suggested that the donor CU of mobile IAB node provide UEs served by the mobile IAB-DU</w:t>
      </w:r>
      <w:r>
        <w:rPr>
          <w:sz w:val="20"/>
          <w:szCs w:val="20"/>
          <w:lang w:val="en-US" w:eastAsia="zh-CN"/>
        </w:rPr>
        <w:t>’</w:t>
      </w:r>
      <w:r>
        <w:rPr>
          <w:rFonts w:hint="eastAsia"/>
          <w:sz w:val="20"/>
          <w:szCs w:val="20"/>
          <w:lang w:val="en-US" w:eastAsia="zh-CN"/>
        </w:rPr>
        <w:t xml:space="preserve">s cell with a list RANACs, which potentially will be broadcast by the mobile IAB node along the movement and where the Xn connection is available between donor CU and potential target CUs for mobile IAB node. In this way, the UEs served by the mobile IAB node </w:t>
      </w:r>
      <w:r>
        <w:rPr>
          <w:rFonts w:eastAsia="等线"/>
          <w:sz w:val="20"/>
          <w:szCs w:val="20"/>
          <w:lang w:eastAsia="ko-KR"/>
        </w:rPr>
        <w:t xml:space="preserve">do not need to perform </w:t>
      </w:r>
      <w:r>
        <w:rPr>
          <w:rFonts w:hint="eastAsia" w:eastAsia="等线"/>
          <w:sz w:val="20"/>
          <w:szCs w:val="20"/>
          <w:lang w:val="en-US" w:eastAsia="zh-CN"/>
        </w:rPr>
        <w:t>RNAU whe</w:t>
      </w:r>
      <w:r>
        <w:rPr>
          <w:rFonts w:eastAsia="等线"/>
          <w:sz w:val="20"/>
          <w:szCs w:val="20"/>
          <w:lang w:eastAsia="ko-KR"/>
        </w:rPr>
        <w:t xml:space="preserve">n the </w:t>
      </w:r>
      <w:r>
        <w:rPr>
          <w:rFonts w:hint="eastAsia" w:eastAsia="等线"/>
          <w:sz w:val="20"/>
          <w:szCs w:val="20"/>
          <w:lang w:val="en-US" w:eastAsia="zh-CN"/>
        </w:rPr>
        <w:t>mobile IAB-DU</w:t>
      </w:r>
      <w:r>
        <w:rPr>
          <w:rFonts w:eastAsia="等线"/>
          <w:sz w:val="20"/>
          <w:szCs w:val="20"/>
          <w:lang w:eastAsia="ko-KR"/>
        </w:rPr>
        <w:t xml:space="preserve"> changes </w:t>
      </w:r>
      <w:r>
        <w:rPr>
          <w:rFonts w:hint="eastAsia" w:eastAsia="等线"/>
          <w:sz w:val="20"/>
          <w:szCs w:val="20"/>
          <w:lang w:val="en-US" w:eastAsia="zh-CN"/>
        </w:rPr>
        <w:t>RANAC</w:t>
      </w:r>
      <w:r>
        <w:rPr>
          <w:rFonts w:eastAsia="等线"/>
          <w:sz w:val="20"/>
          <w:szCs w:val="20"/>
          <w:lang w:eastAsia="ko-KR"/>
        </w:rPr>
        <w:t>s</w:t>
      </w:r>
      <w:r>
        <w:rPr>
          <w:rFonts w:hint="eastAsia" w:eastAsia="等线"/>
          <w:sz w:val="20"/>
          <w:szCs w:val="20"/>
          <w:lang w:val="en-US" w:eastAsia="zh-CN"/>
        </w:rPr>
        <w:t xml:space="preserve">. </w:t>
      </w:r>
    </w:p>
    <w:p>
      <w:pPr>
        <w:jc w:val="both"/>
        <w:rPr>
          <w:rFonts w:hint="eastAsia"/>
          <w:b/>
          <w:bCs/>
          <w:sz w:val="20"/>
          <w:szCs w:val="20"/>
          <w:lang w:val="en-US" w:eastAsia="zh-CN"/>
        </w:rPr>
      </w:pPr>
      <w:r>
        <w:rPr>
          <w:rFonts w:hint="eastAsia"/>
          <w:b/>
          <w:bCs/>
          <w:sz w:val="20"/>
          <w:szCs w:val="20"/>
          <w:lang w:val="en-US" w:eastAsia="zh-CN"/>
        </w:rPr>
        <w:t xml:space="preserve">Proposal 2: To support the dynamic change of RANAC, the following two options may be considered: </w:t>
      </w:r>
    </w:p>
    <w:p>
      <w:pPr>
        <w:numPr>
          <w:ilvl w:val="0"/>
          <w:numId w:val="0"/>
        </w:numPr>
        <w:ind w:firstLine="201" w:firstLineChars="100"/>
        <w:jc w:val="both"/>
        <w:rPr>
          <w:b/>
          <w:bCs/>
          <w:sz w:val="20"/>
          <w:szCs w:val="20"/>
          <w:lang w:val="en-US" w:eastAsia="zh-CN"/>
        </w:rPr>
      </w:pPr>
      <w:r>
        <w:rPr>
          <w:rFonts w:hint="eastAsia"/>
          <w:b/>
          <w:bCs/>
          <w:sz w:val="20"/>
          <w:szCs w:val="20"/>
          <w:lang w:val="en-US" w:eastAsia="zh-CN"/>
        </w:rPr>
        <w:t>1)The mobile IAB-DU</w:t>
      </w:r>
      <w:r>
        <w:rPr>
          <w:b/>
          <w:bCs/>
          <w:sz w:val="20"/>
          <w:szCs w:val="20"/>
          <w:lang w:val="en-US" w:eastAsia="zh-CN"/>
        </w:rPr>
        <w:t>’</w:t>
      </w:r>
      <w:r>
        <w:rPr>
          <w:rFonts w:hint="eastAsia"/>
          <w:b/>
          <w:bCs/>
          <w:sz w:val="20"/>
          <w:szCs w:val="20"/>
          <w:lang w:val="en-US" w:eastAsia="zh-CN"/>
        </w:rPr>
        <w:t xml:space="preserve">s cells may change the RANAC values broadcast in system information to keep align with the RANAC of parent donor. </w:t>
      </w:r>
    </w:p>
    <w:p>
      <w:pPr>
        <w:numPr>
          <w:ilvl w:val="0"/>
          <w:numId w:val="0"/>
        </w:numPr>
        <w:ind w:firstLine="201" w:firstLineChars="100"/>
        <w:jc w:val="both"/>
        <w:rPr>
          <w:rFonts w:hint="eastAsia"/>
          <w:b/>
          <w:bCs/>
          <w:sz w:val="20"/>
          <w:szCs w:val="20"/>
          <w:lang w:val="en-US" w:eastAsia="zh-CN"/>
        </w:rPr>
      </w:pPr>
      <w:r>
        <w:rPr>
          <w:rFonts w:hint="eastAsia"/>
          <w:b/>
          <w:bCs/>
          <w:sz w:val="20"/>
          <w:szCs w:val="20"/>
          <w:lang w:val="en-US" w:eastAsia="zh-CN"/>
        </w:rPr>
        <w:t>2)The target donor CU may send the RANAC configuration to mobile IAB-MT via RRC signalling and then mobile IAB-DU</w:t>
      </w:r>
      <w:r>
        <w:rPr>
          <w:b/>
          <w:bCs/>
          <w:sz w:val="20"/>
          <w:szCs w:val="20"/>
          <w:lang w:val="en-US" w:eastAsia="zh-CN"/>
        </w:rPr>
        <w:t>’</w:t>
      </w:r>
      <w:r>
        <w:rPr>
          <w:rFonts w:hint="eastAsia"/>
          <w:b/>
          <w:bCs/>
          <w:sz w:val="20"/>
          <w:szCs w:val="20"/>
          <w:lang w:val="en-US" w:eastAsia="zh-CN"/>
        </w:rPr>
        <w:t>s cell broadcast this RANAC value in system information.</w:t>
      </w:r>
    </w:p>
    <w:p>
      <w:pPr>
        <w:numPr>
          <w:ilvl w:val="0"/>
          <w:numId w:val="0"/>
        </w:numPr>
        <w:jc w:val="both"/>
        <w:rPr>
          <w:rFonts w:hint="default"/>
          <w:b/>
          <w:bCs/>
          <w:sz w:val="20"/>
          <w:szCs w:val="20"/>
          <w:lang w:val="en-US" w:eastAsia="zh-CN"/>
        </w:rPr>
      </w:pPr>
      <w:r>
        <w:rPr>
          <w:rFonts w:hint="eastAsia"/>
          <w:b/>
          <w:bCs/>
          <w:sz w:val="20"/>
          <w:szCs w:val="20"/>
          <w:lang w:val="en-US" w:eastAsia="zh-CN"/>
        </w:rPr>
        <w:t>Proposal 3: In order to reduce the RNAU of RRC_INACTIVE UEs served by the mobile IAB-DU</w:t>
      </w:r>
      <w:r>
        <w:rPr>
          <w:b/>
          <w:bCs/>
          <w:sz w:val="20"/>
          <w:szCs w:val="20"/>
          <w:lang w:val="en-US" w:eastAsia="zh-CN"/>
        </w:rPr>
        <w:t>’</w:t>
      </w:r>
      <w:r>
        <w:rPr>
          <w:rFonts w:hint="eastAsia"/>
          <w:b/>
          <w:bCs/>
          <w:sz w:val="20"/>
          <w:szCs w:val="20"/>
          <w:lang w:val="en-US" w:eastAsia="zh-CN"/>
        </w:rPr>
        <w:t>s cell, it is suggested that the donor CU provide UEs served by the mobile IAB-DU</w:t>
      </w:r>
      <w:r>
        <w:rPr>
          <w:b/>
          <w:bCs/>
          <w:sz w:val="20"/>
          <w:szCs w:val="20"/>
          <w:lang w:val="en-US" w:eastAsia="zh-CN"/>
        </w:rPr>
        <w:t>’</w:t>
      </w:r>
      <w:r>
        <w:rPr>
          <w:rFonts w:hint="eastAsia"/>
          <w:b/>
          <w:bCs/>
          <w:sz w:val="20"/>
          <w:szCs w:val="20"/>
          <w:lang w:val="en-US" w:eastAsia="zh-CN"/>
        </w:rPr>
        <w:t xml:space="preserve">s cell with a list RANACs, which potentially will be broadcast by the mobile IAB nodes along the movement. </w:t>
      </w:r>
    </w:p>
    <w:p>
      <w:pPr>
        <w:numPr>
          <w:ilvl w:val="0"/>
          <w:numId w:val="0"/>
        </w:numPr>
        <w:ind w:leftChars="0"/>
        <w:jc w:val="both"/>
        <w:rPr>
          <w:sz w:val="20"/>
          <w:szCs w:val="20"/>
          <w:lang w:val="en-US" w:eastAsia="zh-CN"/>
        </w:rPr>
      </w:pPr>
      <w:r>
        <w:rPr>
          <w:rFonts w:hint="eastAsia"/>
          <w:b w:val="0"/>
          <w:bCs w:val="0"/>
          <w:sz w:val="20"/>
          <w:szCs w:val="20"/>
          <w:lang w:val="en-US" w:eastAsia="zh-CN"/>
        </w:rPr>
        <w:t xml:space="preserve">On the other hand, RNA may be configured via a list of NCGIs. </w:t>
      </w:r>
      <w:r>
        <w:rPr>
          <w:rFonts w:hint="eastAsia"/>
          <w:sz w:val="20"/>
          <w:szCs w:val="20"/>
          <w:lang w:val="en-US" w:eastAsia="zh-CN"/>
        </w:rPr>
        <w:t xml:space="preserve">Suppose the UE is configured with a list of cells for RNA when entering into RRC_INACTIVE state, the UEs served by the mobile IAB-DU may detect that the NCGI change of mobile IAB-DU when the mobile IAB node performs HO. It is very likely that the new NCGI of mobile IAB-DU is not included in the list of cells for UE's RNA and the RRC_INACTIVE UE served by the mobile IAB-DU will perform the RNAU procedure. In order to reduce unnecessary RNAU, it is suggested that the RRC_INACTIVE UE may be notified of the NCGI change of the cells of mobile IAB-node-DU and UE replaces the old NCGI with the new one in its cell list of RAN area.  </w:t>
      </w:r>
    </w:p>
    <w:p>
      <w:pPr>
        <w:jc w:val="both"/>
        <w:rPr>
          <w:rFonts w:hint="eastAsia"/>
          <w:b/>
          <w:bCs/>
          <w:sz w:val="20"/>
          <w:szCs w:val="20"/>
          <w:lang w:val="en-US" w:eastAsia="zh-CN"/>
        </w:rPr>
      </w:pPr>
      <w:r>
        <w:rPr>
          <w:rFonts w:hint="eastAsia"/>
          <w:b/>
          <w:bCs/>
          <w:sz w:val="20"/>
          <w:szCs w:val="20"/>
          <w:lang w:val="en-US" w:eastAsia="zh-CN"/>
        </w:rPr>
        <w:t>Proposal 4: For the RNA configuration via a list of NCGIs, in order to reduce unnecessary RNAU, the  RRC_INACTIVE UE may be notified of the NCGI change of the cells of mobile IAB-node-DU and UE may then replace the old NCGI with new NCGI of mobile IAB-node-DU</w:t>
      </w:r>
      <w:r>
        <w:rPr>
          <w:b/>
          <w:bCs/>
          <w:sz w:val="20"/>
          <w:szCs w:val="20"/>
          <w:lang w:val="en-US" w:eastAsia="zh-CN"/>
        </w:rPr>
        <w:t>’</w:t>
      </w:r>
      <w:r>
        <w:rPr>
          <w:rFonts w:hint="eastAsia"/>
          <w:b/>
          <w:bCs/>
          <w:sz w:val="20"/>
          <w:szCs w:val="20"/>
          <w:lang w:val="en-US" w:eastAsia="zh-CN"/>
        </w:rPr>
        <w:t>s cell for the cells included in the RNA configuration.</w:t>
      </w:r>
    </w:p>
    <w:p>
      <w:pPr>
        <w:pStyle w:val="3"/>
        <w:bidi w:val="0"/>
        <w:rPr>
          <w:rFonts w:hint="eastAsia"/>
          <w:lang w:val="en-US" w:eastAsia="zh-CN"/>
        </w:rPr>
      </w:pPr>
      <w:r>
        <w:rPr>
          <w:rFonts w:hint="eastAsia"/>
          <w:lang w:val="en-US" w:eastAsia="zh-CN"/>
        </w:rPr>
        <w:t>PCI collision</w:t>
      </w:r>
    </w:p>
    <w:p>
      <w:pPr>
        <w:rPr>
          <w:rFonts w:hint="eastAsia"/>
          <w:b w:val="0"/>
          <w:bCs w:val="0"/>
          <w:highlight w:val="none"/>
          <w:lang w:val="en-US" w:eastAsia="zh-CN"/>
        </w:rPr>
      </w:pPr>
      <w:r>
        <w:rPr>
          <w:rFonts w:hint="eastAsia"/>
          <w:lang w:val="en-US" w:eastAsia="zh-CN"/>
        </w:rPr>
        <w:t xml:space="preserve">The PCI of mobile IAB-DU cell may collide with other cells due to the movement of mobile IAB-MT. During </w:t>
      </w:r>
      <w:r>
        <w:rPr>
          <w:rFonts w:hint="eastAsia"/>
          <w:lang w:eastAsia="zh-CN"/>
        </w:rPr>
        <w:t>RAN3#117 bis meeting</w:t>
      </w:r>
      <w:r>
        <w:rPr>
          <w:rFonts w:hint="eastAsia"/>
          <w:lang w:val="en-US" w:eastAsia="zh-CN"/>
        </w:rPr>
        <w:t xml:space="preserve"> </w:t>
      </w:r>
      <w:r>
        <w:rPr>
          <w:rFonts w:hint="eastAsia"/>
          <w:lang w:eastAsia="zh-CN"/>
        </w:rPr>
        <w:t xml:space="preserve">, </w:t>
      </w:r>
      <w:r>
        <w:rPr>
          <w:rFonts w:hint="eastAsia"/>
          <w:lang w:val="en-US" w:eastAsia="zh-CN"/>
        </w:rPr>
        <w:t xml:space="preserve">it has been agreed that </w:t>
      </w:r>
      <w:r>
        <w:rPr>
          <w:rFonts w:hint="eastAsia"/>
          <w:lang w:eastAsia="zh-CN"/>
        </w:rPr>
        <w:t xml:space="preserve">PCI collision can be detected by the F1-terminating IAB-donor of the mobile IAB-node. </w:t>
      </w:r>
      <w:r>
        <w:rPr>
          <w:rFonts w:hint="eastAsia"/>
          <w:lang w:val="en-US" w:eastAsia="zh-CN"/>
        </w:rPr>
        <w:t xml:space="preserve">For example, </w:t>
      </w:r>
      <w:r>
        <w:rPr>
          <w:rFonts w:hint="eastAsia"/>
          <w:highlight w:val="none"/>
          <w:lang w:val="en-US" w:eastAsia="zh-CN"/>
        </w:rPr>
        <w:t xml:space="preserve">the donor CU should be able to know the PCI used by the mobile IAB-DU via the </w:t>
      </w:r>
      <w:r>
        <w:rPr>
          <w:highlight w:val="none"/>
          <w:lang w:val="en-US" w:eastAsia="zh-CN"/>
        </w:rPr>
        <w:t>F1 Setup procedure</w:t>
      </w:r>
      <w:r>
        <w:rPr>
          <w:rFonts w:hint="eastAsia"/>
          <w:highlight w:val="none"/>
          <w:lang w:val="en-US" w:eastAsia="zh-CN"/>
        </w:rPr>
        <w:t>. During the full migration, the target donor CU</w:t>
      </w:r>
      <w:r>
        <w:rPr>
          <w:rFonts w:hint="eastAsia"/>
          <w:lang w:val="en-US" w:eastAsia="zh-CN"/>
        </w:rPr>
        <w:t xml:space="preserve"> could detect PCI collision upon receiving the F1 setup request (which include the PCI used by the mobile IAB-DU) from mobile IAB-DU. Suppose the PCI collision is detected, the target donor CU </w:t>
      </w:r>
      <w:r>
        <w:rPr>
          <w:rFonts w:hint="eastAsia"/>
          <w:b w:val="0"/>
          <w:bCs w:val="0"/>
          <w:lang w:val="en-US" w:eastAsia="zh-CN"/>
        </w:rPr>
        <w:t xml:space="preserve">may </w:t>
      </w:r>
      <w:r>
        <w:rPr>
          <w:rFonts w:hint="eastAsia"/>
          <w:b w:val="0"/>
          <w:bCs w:val="0"/>
          <w:highlight w:val="none"/>
          <w:lang w:val="en-US" w:eastAsia="zh-CN"/>
        </w:rPr>
        <w:t xml:space="preserve">request a new PCI from OAM or </w:t>
      </w:r>
      <w:r>
        <w:rPr>
          <w:b w:val="0"/>
          <w:bCs w:val="0"/>
          <w:highlight w:val="none"/>
          <w:lang w:val="en-US" w:eastAsia="zh-CN"/>
        </w:rPr>
        <w:t>select a new PCI value from the preconfigured PCI list</w:t>
      </w:r>
      <w:r>
        <w:rPr>
          <w:rFonts w:hint="eastAsia"/>
          <w:b w:val="0"/>
          <w:bCs w:val="0"/>
          <w:highlight w:val="none"/>
          <w:lang w:val="en-US" w:eastAsia="zh-CN"/>
        </w:rPr>
        <w:t xml:space="preserve">, </w:t>
      </w:r>
      <w:r>
        <w:rPr>
          <w:b w:val="0"/>
          <w:bCs w:val="0"/>
          <w:highlight w:val="none"/>
          <w:lang w:val="en-US" w:eastAsia="zh-CN"/>
        </w:rPr>
        <w:t>and</w:t>
      </w:r>
      <w:r>
        <w:rPr>
          <w:rFonts w:hint="eastAsia"/>
          <w:b w:val="0"/>
          <w:bCs w:val="0"/>
          <w:highlight w:val="none"/>
          <w:lang w:val="en-US" w:eastAsia="zh-CN"/>
        </w:rPr>
        <w:t xml:space="preserve"> then</w:t>
      </w:r>
      <w:r>
        <w:rPr>
          <w:b w:val="0"/>
          <w:bCs w:val="0"/>
          <w:highlight w:val="none"/>
          <w:lang w:val="en-US" w:eastAsia="zh-CN"/>
        </w:rPr>
        <w:t xml:space="preserve"> send it to the </w:t>
      </w:r>
      <w:r>
        <w:rPr>
          <w:rFonts w:hint="eastAsia"/>
          <w:b w:val="0"/>
          <w:bCs w:val="0"/>
          <w:highlight w:val="none"/>
          <w:lang w:val="en-US" w:eastAsia="zh-CN"/>
        </w:rPr>
        <w:t>mobile IAB</w:t>
      </w:r>
      <w:r>
        <w:rPr>
          <w:b w:val="0"/>
          <w:bCs w:val="0"/>
          <w:highlight w:val="none"/>
          <w:lang w:val="en-US" w:eastAsia="zh-CN"/>
        </w:rPr>
        <w:t>-DU</w:t>
      </w:r>
      <w:r>
        <w:rPr>
          <w:rFonts w:hint="eastAsia"/>
          <w:b w:val="0"/>
          <w:bCs w:val="0"/>
          <w:highlight w:val="none"/>
          <w:lang w:val="en-US" w:eastAsia="zh-CN"/>
        </w:rPr>
        <w:t xml:space="preserve">. </w:t>
      </w:r>
    </w:p>
    <w:p>
      <w:pPr>
        <w:numPr>
          <w:ilvl w:val="-1"/>
          <w:numId w:val="0"/>
        </w:numPr>
        <w:jc w:val="both"/>
        <w:rPr>
          <w:rFonts w:hint="default" w:eastAsia="等线"/>
          <w:lang w:val="en-US" w:eastAsia="zh-CN"/>
        </w:rPr>
      </w:pPr>
      <w:r>
        <w:rPr>
          <w:rFonts w:hint="eastAsia"/>
          <w:lang w:val="en-US" w:eastAsia="zh-CN"/>
        </w:rPr>
        <w:t xml:space="preserve">When it comes to the partial migration, </w:t>
      </w:r>
      <w:r>
        <w:rPr>
          <w:rFonts w:hint="eastAsia" w:eastAsia="等线"/>
          <w:lang w:val="en-US" w:eastAsia="zh-CN"/>
        </w:rPr>
        <w:t>the mobile IAB-DU has only F1 connection with F1-terminating donor CU and the F1-terminating donor CU may be not aware of the PCIs used in the neighbouring cells of the mobile IAB cell. It is doubtful how the F1-terminating donor CU detects the PCI collision of mobile IAB-DU. In our opinion, if there is Xn connection</w:t>
      </w:r>
      <w:bookmarkStart w:id="3" w:name="_GoBack"/>
      <w:bookmarkEnd w:id="3"/>
      <w:r>
        <w:rPr>
          <w:rFonts w:hint="eastAsia" w:eastAsia="等线"/>
          <w:lang w:val="en-US" w:eastAsia="zh-CN"/>
        </w:rPr>
        <w:t xml:space="preserve"> between the F1-terminating donor CU and target donor CU, the F1-terminating donor CU can be aware of PCIs of serving cells and neighbour cells of the target donor CU via existing XnAP signaling, e.g., </w:t>
      </w:r>
      <w:r>
        <w:t>X</w:t>
      </w:r>
      <w:r>
        <w:rPr>
          <w:rFonts w:hint="eastAsia"/>
          <w:lang w:val="en-US" w:eastAsia="zh-CN"/>
        </w:rPr>
        <w:t>n</w:t>
      </w:r>
      <w:r>
        <w:t xml:space="preserve"> SETUP</w:t>
      </w:r>
      <w:r>
        <w:rPr>
          <w:rFonts w:hint="eastAsia"/>
          <w:lang w:val="en-US" w:eastAsia="zh-CN"/>
        </w:rPr>
        <w:t>/NG-RAN NODE CONFIGURATION UPDATE</w:t>
      </w:r>
      <w:r>
        <w:rPr>
          <w:rFonts w:hint="eastAsia" w:eastAsia="等线"/>
          <w:lang w:val="en-US" w:eastAsia="zh-CN"/>
        </w:rPr>
        <w:t>. Thus F1-terminating donor CU can detect potential PCI collision and then reconfigure the PCI for mobile IAB-DU</w:t>
      </w:r>
      <w:r>
        <w:rPr>
          <w:rFonts w:hint="default" w:eastAsia="等线"/>
          <w:lang w:val="en-US" w:eastAsia="zh-CN"/>
        </w:rPr>
        <w:t>’</w:t>
      </w:r>
      <w:r>
        <w:rPr>
          <w:rFonts w:hint="eastAsia" w:eastAsia="等线"/>
          <w:lang w:val="en-US" w:eastAsia="zh-CN"/>
        </w:rPr>
        <w:t xml:space="preserve">s cell when necessary. However, if the Xn connection is not available, it is hard for the F1-terminating donor CU to be aware of the PCI collision. On the other hand, the PCI reconfiguration after the F1 connection SETUP or </w:t>
      </w:r>
      <w:r>
        <w:rPr>
          <w:rFonts w:hint="eastAsia"/>
          <w:lang w:val="en-US" w:eastAsia="zh-CN"/>
        </w:rPr>
        <w:t>NG-RAN node CONFIGURATION UPDATE</w:t>
      </w:r>
      <w:r>
        <w:rPr>
          <w:rFonts w:hint="eastAsia" w:eastAsia="等线"/>
          <w:lang w:val="en-US" w:eastAsia="zh-CN"/>
        </w:rPr>
        <w:t xml:space="preserve"> may lead to longer latency and cause interference to neighbor cells.  So it needs to be discussed how to predict PCI collision so that PCI collision can be avoided. </w:t>
      </w:r>
    </w:p>
    <w:p>
      <w:pPr>
        <w:numPr>
          <w:ilvl w:val="-1"/>
          <w:numId w:val="0"/>
        </w:numPr>
        <w:jc w:val="both"/>
        <w:rPr>
          <w:rFonts w:hint="eastAsia"/>
          <w:color w:val="auto"/>
          <w:highlight w:val="none"/>
          <w:lang w:val="en-US" w:eastAsia="zh-CN"/>
        </w:rPr>
      </w:pPr>
      <w:r>
        <w:rPr>
          <w:rFonts w:hint="eastAsia" w:eastAsia="等线"/>
          <w:lang w:val="en-US" w:eastAsia="zh-CN"/>
        </w:rPr>
        <w:t xml:space="preserve">Based on the above analysis, it is suggested that the new PCI be reconfigured as soon as possible before the potential collision happens. To be specific, </w:t>
      </w:r>
      <w:r>
        <w:rPr>
          <w:rFonts w:hint="eastAsia"/>
          <w:color w:val="auto"/>
          <w:highlight w:val="none"/>
          <w:lang w:val="en-US" w:eastAsia="zh-CN"/>
        </w:rPr>
        <w:t>the PCI used by mobile IAB DU</w:t>
      </w:r>
      <w:r>
        <w:rPr>
          <w:rFonts w:hint="default"/>
          <w:color w:val="auto"/>
          <w:highlight w:val="none"/>
          <w:lang w:val="en-US" w:eastAsia="zh-CN"/>
        </w:rPr>
        <w:t>’</w:t>
      </w:r>
      <w:r>
        <w:rPr>
          <w:rFonts w:hint="eastAsia"/>
          <w:color w:val="auto"/>
          <w:highlight w:val="none"/>
          <w:lang w:val="en-US" w:eastAsia="zh-CN"/>
        </w:rPr>
        <w:t>s cells may be sent by source donor CU to the target donor CU during HO preparation phase of co-located mobile IAB-MT. If the target donor CU receives the PCI of mobile IAB DU</w:t>
      </w:r>
      <w:r>
        <w:rPr>
          <w:rFonts w:hint="default"/>
          <w:color w:val="auto"/>
          <w:highlight w:val="none"/>
          <w:lang w:val="en-US" w:eastAsia="zh-CN"/>
        </w:rPr>
        <w:t>’</w:t>
      </w:r>
      <w:r>
        <w:rPr>
          <w:rFonts w:hint="eastAsia"/>
          <w:color w:val="auto"/>
          <w:highlight w:val="none"/>
          <w:lang w:val="en-US" w:eastAsia="zh-CN"/>
        </w:rPr>
        <w:t>s cells and predicts PCI collision, the target donor CU may re-assign the PCI for the mobile IAB-DU</w:t>
      </w:r>
      <w:r>
        <w:rPr>
          <w:rFonts w:hint="default"/>
          <w:color w:val="auto"/>
          <w:highlight w:val="none"/>
          <w:lang w:val="en-US" w:eastAsia="zh-CN"/>
        </w:rPr>
        <w:t>’</w:t>
      </w:r>
      <w:r>
        <w:rPr>
          <w:rFonts w:hint="eastAsia"/>
          <w:color w:val="auto"/>
          <w:highlight w:val="none"/>
          <w:lang w:val="en-US" w:eastAsia="zh-CN"/>
        </w:rPr>
        <w:t xml:space="preserve">s cells and send it to source donor CU. Upon receiving the Reconfigurationwithsync from source donor CU, the mobile IAB-MT delivers the new PCI configuration of mobile IAB cells to the co-located mobile IAB-DU, which will then activate another set of cells with the new PCIs. </w:t>
      </w:r>
    </w:p>
    <w:p>
      <w:pPr>
        <w:jc w:val="both"/>
        <w:rPr>
          <w:rFonts w:hint="eastAsia"/>
          <w:lang w:val="en-US" w:eastAsia="zh-CN"/>
        </w:rPr>
      </w:pPr>
      <w:r>
        <w:rPr>
          <w:rFonts w:hint="eastAsia" w:eastAsia="等线"/>
          <w:b/>
          <w:bCs/>
          <w:lang w:val="en-US" w:eastAsia="zh-CN"/>
        </w:rPr>
        <w:t>Proposal 5: RAN2 to consider the PCI re-assignment for mobile IAB-DU</w:t>
      </w:r>
      <w:r>
        <w:rPr>
          <w:rFonts w:hint="default" w:eastAsia="等线"/>
          <w:b/>
          <w:bCs/>
          <w:lang w:val="en-US" w:eastAsia="zh-CN"/>
        </w:rPr>
        <w:t>’</w:t>
      </w:r>
      <w:r>
        <w:rPr>
          <w:rFonts w:hint="eastAsia" w:eastAsia="等线"/>
          <w:b/>
          <w:bCs/>
          <w:lang w:val="en-US" w:eastAsia="zh-CN"/>
        </w:rPr>
        <w:t>s cell during the HO preparation phase of co-located mobile IAB-MT.</w:t>
      </w:r>
    </w:p>
    <w:p>
      <w:pPr>
        <w:pStyle w:val="3"/>
        <w:bidi w:val="0"/>
        <w:rPr>
          <w:rFonts w:hint="default"/>
          <w:lang w:val="en-US" w:eastAsia="zh-CN"/>
        </w:rPr>
      </w:pPr>
      <w:r>
        <w:rPr>
          <w:rFonts w:hint="eastAsia"/>
          <w:lang w:val="en-US" w:eastAsia="zh-CN"/>
        </w:rPr>
        <w:t>ANR</w:t>
      </w:r>
    </w:p>
    <w:p>
      <w:pPr>
        <w:jc w:val="both"/>
        <w:rPr>
          <w:rFonts w:hint="eastAsia" w:eastAsia="宋体"/>
          <w:lang w:val="en-US" w:eastAsia="zh-CN"/>
        </w:rPr>
      </w:pPr>
      <w:r>
        <w:rPr>
          <w:rFonts w:hint="eastAsia"/>
          <w:lang w:val="en-US" w:eastAsia="zh-CN"/>
        </w:rPr>
        <w:t>As we know, t</w:t>
      </w:r>
      <w:r>
        <w:t>he ANR function resides in the gNB</w:t>
      </w:r>
      <w:r>
        <w:rPr>
          <w:rFonts w:hint="eastAsia"/>
          <w:lang w:val="en-US" w:eastAsia="zh-CN"/>
        </w:rPr>
        <w:t>,</w:t>
      </w:r>
      <w:r>
        <w:t xml:space="preserve"> </w:t>
      </w:r>
      <w:r>
        <w:rPr>
          <w:rFonts w:hint="eastAsia"/>
          <w:lang w:val="en-US" w:eastAsia="zh-CN"/>
        </w:rPr>
        <w:t>which</w:t>
      </w:r>
      <w:r>
        <w:t xml:space="preserve"> manages the Neighbour Cell Relation Table (NCRT). </w:t>
      </w:r>
      <w:r>
        <w:rPr>
          <w:rFonts w:hint="eastAsia"/>
          <w:lang w:val="en-US" w:eastAsia="zh-CN"/>
        </w:rPr>
        <w:t xml:space="preserve">Generally speaking, the NCR may contain a list of entries for each source cell which include the </w:t>
      </w:r>
      <w:r>
        <w:t>NR CGI</w:t>
      </w:r>
      <w:r>
        <w:rPr>
          <w:rFonts w:hint="eastAsia"/>
          <w:lang w:val="en-US" w:eastAsia="zh-CN"/>
        </w:rPr>
        <w:t xml:space="preserve">, </w:t>
      </w:r>
      <w:r>
        <w:t>NR PCI</w:t>
      </w:r>
      <w:r>
        <w:rPr>
          <w:rFonts w:hint="eastAsia"/>
          <w:lang w:val="en-US" w:eastAsia="zh-CN"/>
        </w:rPr>
        <w:t xml:space="preserve"> of target cell and attributes such as Xn availability, HO, etc. </w:t>
      </w:r>
      <w:r>
        <w:t xml:space="preserve">Located within ANR, the Neighbour Detection Function finds new </w:t>
      </w:r>
      <w:r>
        <w:rPr>
          <w:rFonts w:hint="eastAsia"/>
          <w:lang w:eastAsia="zh-CN"/>
        </w:rPr>
        <w:t>neighbors</w:t>
      </w:r>
      <w:r>
        <w:t xml:space="preserve"> and adds them to the NCRT. </w:t>
      </w:r>
      <w:r>
        <w:rPr>
          <w:rFonts w:hint="eastAsia"/>
          <w:lang w:val="en-US" w:eastAsia="zh-CN"/>
        </w:rPr>
        <w:t xml:space="preserve">The gNB may obtain the NCR information via OAM configuration, neighbor information exchange via Xn setup or </w:t>
      </w:r>
      <w:r>
        <w:t>gNB Configuration Update</w:t>
      </w:r>
      <w:r>
        <w:rPr>
          <w:rFonts w:hint="eastAsia"/>
          <w:lang w:val="en-US" w:eastAsia="zh-CN"/>
        </w:rPr>
        <w:t xml:space="preserve"> procedure. In addition, gNB may request UE to use </w:t>
      </w:r>
      <w:r>
        <w:t xml:space="preserve">the newly discovered PCI as parameter, to read all the broadcast NCGI(s) /ECGI(s), TAC(s), RANAC(s), PLMN ID(s) and, for neighbour NR cells, NR frequency band(s). </w:t>
      </w:r>
      <w:r>
        <w:rPr>
          <w:rFonts w:hint="eastAsia"/>
          <w:lang w:val="en-US" w:eastAsia="zh-CN"/>
        </w:rPr>
        <w:t xml:space="preserve">Then UE report these information of neighboring NR cells to gNB. gNB may </w:t>
      </w:r>
      <w:r>
        <w:t>decide to add this neighbour relation</w:t>
      </w:r>
      <w:r>
        <w:rPr>
          <w:rFonts w:hint="eastAsia"/>
          <w:lang w:val="en-US" w:eastAsia="zh-CN"/>
        </w:rPr>
        <w:t xml:space="preserve"> to NCRT. In addition, gNB may </w:t>
      </w:r>
      <w:r>
        <w:t>use PCI and NCGI(s)</w:t>
      </w:r>
      <w:r>
        <w:rPr>
          <w:rFonts w:hint="eastAsia"/>
          <w:lang w:val="en-US" w:eastAsia="zh-CN"/>
        </w:rPr>
        <w:t xml:space="preserve"> to l</w:t>
      </w:r>
      <w:r>
        <w:t>ookup a transport layer address to the new NG-RAN node</w:t>
      </w:r>
      <w:r>
        <w:rPr>
          <w:rFonts w:hint="eastAsia"/>
          <w:lang w:val="en-US" w:eastAsia="zh-CN"/>
        </w:rPr>
        <w:t xml:space="preserve"> and </w:t>
      </w:r>
      <w:r>
        <w:t>setup a new Xn interface towards this NG-RAN node</w:t>
      </w:r>
      <w:r>
        <w:rPr>
          <w:rFonts w:hint="eastAsia"/>
          <w:lang w:val="en-US" w:eastAsia="zh-CN"/>
        </w:rPr>
        <w:t>.</w:t>
      </w:r>
    </w:p>
    <w:p>
      <w:pPr>
        <w:jc w:val="both"/>
        <w:rPr>
          <w:rFonts w:hint="eastAsia"/>
          <w:lang w:val="en-US" w:eastAsia="zh-CN"/>
        </w:rPr>
      </w:pPr>
      <w:r>
        <w:rPr>
          <w:rFonts w:hint="eastAsia"/>
          <w:lang w:val="en-US" w:eastAsia="zh-CN"/>
        </w:rPr>
        <w:t xml:space="preserve">When it comes to the mobile IAB scenario, the mobile IAB node may notify the cells information to donor CU via F1 interface once the mobile IAB node MT has connected or handover to donor CU. This donor CU may then notify the neighbor gNB with the updated served cell info via Xn interface. For the other neighbor gNB which has no Xn interface with donor CU, the UE may detect the PCI of mobile IAB cells and report to the neighbor gNB. </w:t>
      </w:r>
    </w:p>
    <w:p>
      <w:pPr>
        <w:jc w:val="both"/>
        <w:rPr>
          <w:rFonts w:hint="default" w:eastAsia="宋体"/>
          <w:lang w:val="en-US" w:eastAsia="zh-CN"/>
        </w:rPr>
      </w:pPr>
      <w:r>
        <w:rPr>
          <w:rFonts w:hint="eastAsia"/>
          <w:lang w:val="en-US" w:eastAsia="zh-CN"/>
        </w:rPr>
        <w:t>As a matter of fact, it is not recommended for the neighboring UE served by non-mobile neighboring cells to HO to the mobile IAB cells. Therefore it is also not necessary to add the mobile IAB cells to the neighboring gNB</w:t>
      </w:r>
      <w:r>
        <w:rPr>
          <w:rFonts w:hint="default"/>
          <w:lang w:val="en-US" w:eastAsia="zh-CN"/>
        </w:rPr>
        <w:t>’</w:t>
      </w:r>
      <w:r>
        <w:rPr>
          <w:rFonts w:hint="eastAsia"/>
          <w:lang w:val="en-US" w:eastAsia="zh-CN"/>
        </w:rPr>
        <w:t xml:space="preserve">s NCRT. </w:t>
      </w:r>
      <w:r>
        <w:rPr>
          <w:rFonts w:hint="eastAsia"/>
          <w:highlight w:val="none"/>
          <w:lang w:val="en-US" w:eastAsia="zh-CN"/>
        </w:rPr>
        <w:t xml:space="preserve">To support this, when UE report the mobile IAB indication together with other </w:t>
      </w:r>
      <w:r>
        <w:rPr>
          <w:highlight w:val="none"/>
        </w:rPr>
        <w:t>NCGI(s) /ECGI(s), TAC(s), RANAC(s), PLMN ID(s) and, NR frequency band(s)</w:t>
      </w:r>
      <w:r>
        <w:rPr>
          <w:rFonts w:hint="eastAsia"/>
          <w:highlight w:val="none"/>
          <w:lang w:val="en-US" w:eastAsia="zh-CN"/>
        </w:rPr>
        <w:t xml:space="preserve"> information. Based on this information, the neighboring gNB decides not to add the entry for mobile IAB cells into the NCRT. </w:t>
      </w:r>
    </w:p>
    <w:p>
      <w:pPr>
        <w:jc w:val="both"/>
        <w:rPr>
          <w:rFonts w:hint="eastAsia"/>
          <w:b/>
          <w:bCs/>
          <w:sz w:val="20"/>
          <w:szCs w:val="20"/>
          <w:lang w:val="en-US" w:eastAsia="zh-CN"/>
        </w:rPr>
      </w:pPr>
      <w:r>
        <w:rPr>
          <w:rFonts w:hint="eastAsia"/>
          <w:b/>
          <w:bCs/>
          <w:lang w:val="en-US" w:eastAsia="zh-CN"/>
        </w:rPr>
        <w:t xml:space="preserve">Proposal 6: To avoid neighbor gNB to add the mobile IAB cells into NCRT, it is suggested </w:t>
      </w:r>
      <w:r>
        <w:rPr>
          <w:rFonts w:hint="eastAsia"/>
          <w:b/>
          <w:bCs/>
          <w:highlight w:val="none"/>
          <w:lang w:val="en-US" w:eastAsia="zh-CN"/>
        </w:rPr>
        <w:t xml:space="preserve">UE indicates to gNB that the cell is for mobile IAB when UE is requested to report more information for a PCI associated with mobile IAB cell. </w:t>
      </w:r>
    </w:p>
    <w:bookmarkEnd w:id="0"/>
    <w:p>
      <w:pPr>
        <w:pStyle w:val="2"/>
        <w:jc w:val="both"/>
        <w:rPr>
          <w:rFonts w:eastAsia="宋体"/>
          <w:lang w:eastAsia="zh-CN"/>
        </w:rPr>
      </w:pPr>
      <w:bookmarkStart w:id="1" w:name="OLE_LINK2"/>
      <w:bookmarkStart w:id="2" w:name="OLE_LINK1"/>
      <w:r>
        <w:rPr>
          <w:rFonts w:hint="eastAsia" w:eastAsia="宋体"/>
          <w:lang w:eastAsia="zh-CN"/>
        </w:rPr>
        <w:t>Conclusion</w:t>
      </w:r>
    </w:p>
    <w:bookmarkEnd w:id="1"/>
    <w:bookmarkEnd w:id="2"/>
    <w:p>
      <w:pPr>
        <w:overflowPunct w:val="0"/>
        <w:autoSpaceDE w:val="0"/>
        <w:autoSpaceDN w:val="0"/>
        <w:adjustRightInd w:val="0"/>
        <w:spacing w:before="156" w:beforeLines="50"/>
        <w:jc w:val="both"/>
        <w:rPr>
          <w:lang w:val="en-US" w:eastAsia="zh-CN"/>
        </w:rPr>
      </w:pPr>
      <w:r>
        <w:rPr>
          <w:lang w:val="en-US" w:eastAsia="zh-CN"/>
        </w:rPr>
        <w:t xml:space="preserve">In this contribution, </w:t>
      </w:r>
      <w:r>
        <w:rPr>
          <w:rFonts w:hint="eastAsia"/>
          <w:lang w:val="en-US" w:eastAsia="zh-CN"/>
        </w:rPr>
        <w:t>we focus on the remaining issues for mobile IAB and present our point of view</w:t>
      </w:r>
      <w:r>
        <w:rPr>
          <w:lang w:val="en-US" w:eastAsia="zh-CN"/>
        </w:rPr>
        <w:t>.</w:t>
      </w:r>
      <w:r>
        <w:rPr>
          <w:rFonts w:hint="eastAsia"/>
          <w:lang w:val="en-US" w:eastAsia="zh-CN"/>
        </w:rPr>
        <w:t xml:space="preserve"> The following proposals are given:</w:t>
      </w:r>
    </w:p>
    <w:p>
      <w:pPr>
        <w:overflowPunct w:val="0"/>
        <w:autoSpaceDE w:val="0"/>
        <w:autoSpaceDN w:val="0"/>
        <w:adjustRightInd w:val="0"/>
        <w:spacing w:before="156" w:beforeLines="50"/>
        <w:jc w:val="both"/>
        <w:rPr>
          <w:b/>
          <w:bCs/>
          <w:lang w:val="en-US" w:eastAsia="zh-CN"/>
        </w:rPr>
      </w:pPr>
      <w:r>
        <w:rPr>
          <w:rFonts w:hint="eastAsia"/>
          <w:b/>
          <w:bCs/>
          <w:lang w:val="en-US" w:eastAsia="zh-CN"/>
        </w:rPr>
        <w:t xml:space="preserve">Proposal 1: </w:t>
      </w:r>
      <w:r>
        <w:rPr>
          <w:b/>
          <w:bCs/>
        </w:rPr>
        <w:t>Mobile IAB-MT</w:t>
      </w:r>
      <w:r>
        <w:rPr>
          <w:rFonts w:hint="eastAsia"/>
          <w:b/>
          <w:bCs/>
          <w:lang w:val="en-US" w:eastAsia="zh-CN"/>
        </w:rPr>
        <w:t xml:space="preserve"> may receive </w:t>
      </w:r>
      <w:r>
        <w:rPr>
          <w:b/>
          <w:bCs/>
        </w:rPr>
        <w:t>a</w:t>
      </w:r>
      <w:r>
        <w:rPr>
          <w:rFonts w:hint="eastAsia"/>
          <w:b/>
          <w:bCs/>
          <w:lang w:val="en-US" w:eastAsia="zh-CN"/>
        </w:rPr>
        <w:t xml:space="preserve"> new</w:t>
      </w:r>
      <w:r>
        <w:rPr>
          <w:b/>
          <w:bCs/>
        </w:rPr>
        <w:t xml:space="preserve"> TAC value </w:t>
      </w:r>
      <w:r>
        <w:rPr>
          <w:rFonts w:hint="eastAsia"/>
          <w:b/>
          <w:bCs/>
          <w:lang w:val="en-US" w:eastAsia="zh-CN"/>
        </w:rPr>
        <w:t xml:space="preserve">for mobile IAB node either from system information or from dedicated signalling from donor CU during mobile IAB-MT HO </w:t>
      </w:r>
      <w:r>
        <w:rPr>
          <w:b/>
          <w:bCs/>
        </w:rPr>
        <w:t xml:space="preserve">and then mobile IAB-MT </w:t>
      </w:r>
      <w:r>
        <w:rPr>
          <w:rFonts w:hint="eastAsia"/>
          <w:b/>
          <w:bCs/>
        </w:rPr>
        <w:t>delivers</w:t>
      </w:r>
      <w:r>
        <w:rPr>
          <w:b/>
          <w:bCs/>
        </w:rPr>
        <w:t xml:space="preserve"> the </w:t>
      </w:r>
      <w:r>
        <w:rPr>
          <w:rFonts w:hint="eastAsia"/>
          <w:b/>
          <w:bCs/>
          <w:lang w:val="en-US" w:eastAsia="zh-CN"/>
        </w:rPr>
        <w:t xml:space="preserve">new </w:t>
      </w:r>
      <w:r>
        <w:rPr>
          <w:b/>
          <w:bCs/>
        </w:rPr>
        <w:t>TAC value</w:t>
      </w:r>
      <w:r>
        <w:rPr>
          <w:rFonts w:hint="eastAsia"/>
          <w:b/>
          <w:bCs/>
          <w:lang w:val="en-US" w:eastAsia="zh-CN"/>
        </w:rPr>
        <w:t xml:space="preserve"> specific for mobile IAB node</w:t>
      </w:r>
      <w:r>
        <w:rPr>
          <w:b/>
          <w:bCs/>
        </w:rPr>
        <w:t xml:space="preserve"> to its collocated mobile IAB-DU for SIB broadcasting</w:t>
      </w:r>
      <w:r>
        <w:rPr>
          <w:rFonts w:hint="eastAsia"/>
          <w:b/>
          <w:bCs/>
        </w:rPr>
        <w:t>.</w:t>
      </w:r>
    </w:p>
    <w:p>
      <w:pPr>
        <w:jc w:val="both"/>
        <w:rPr>
          <w:rFonts w:hint="eastAsia"/>
          <w:b/>
          <w:bCs/>
          <w:sz w:val="20"/>
          <w:szCs w:val="20"/>
          <w:lang w:val="en-US" w:eastAsia="zh-CN"/>
        </w:rPr>
      </w:pPr>
      <w:r>
        <w:rPr>
          <w:rFonts w:hint="eastAsia"/>
          <w:b/>
          <w:bCs/>
          <w:sz w:val="20"/>
          <w:szCs w:val="20"/>
          <w:lang w:val="en-US" w:eastAsia="zh-CN"/>
        </w:rPr>
        <w:t xml:space="preserve">Proposal 2: To support the dynamic change of RANAC, the following two options may be considered: </w:t>
      </w:r>
    </w:p>
    <w:p>
      <w:pPr>
        <w:numPr>
          <w:ilvl w:val="0"/>
          <w:numId w:val="0"/>
        </w:numPr>
        <w:ind w:firstLine="201" w:firstLineChars="100"/>
        <w:jc w:val="both"/>
        <w:rPr>
          <w:b/>
          <w:bCs/>
          <w:sz w:val="20"/>
          <w:szCs w:val="20"/>
          <w:lang w:val="en-US" w:eastAsia="zh-CN"/>
        </w:rPr>
      </w:pPr>
      <w:r>
        <w:rPr>
          <w:rFonts w:hint="eastAsia"/>
          <w:b/>
          <w:bCs/>
          <w:sz w:val="20"/>
          <w:szCs w:val="20"/>
          <w:lang w:val="en-US" w:eastAsia="zh-CN"/>
        </w:rPr>
        <w:t>1)The mobile IAB-DU</w:t>
      </w:r>
      <w:r>
        <w:rPr>
          <w:b/>
          <w:bCs/>
          <w:sz w:val="20"/>
          <w:szCs w:val="20"/>
          <w:lang w:val="en-US" w:eastAsia="zh-CN"/>
        </w:rPr>
        <w:t>’</w:t>
      </w:r>
      <w:r>
        <w:rPr>
          <w:rFonts w:hint="eastAsia"/>
          <w:b/>
          <w:bCs/>
          <w:sz w:val="20"/>
          <w:szCs w:val="20"/>
          <w:lang w:val="en-US" w:eastAsia="zh-CN"/>
        </w:rPr>
        <w:t xml:space="preserve">s cells may change the RANAC values broadcast in system information to keep align with the RANAC of parent donor. </w:t>
      </w:r>
    </w:p>
    <w:p>
      <w:pPr>
        <w:numPr>
          <w:ilvl w:val="0"/>
          <w:numId w:val="0"/>
        </w:numPr>
        <w:ind w:firstLine="201" w:firstLineChars="100"/>
        <w:jc w:val="both"/>
        <w:rPr>
          <w:rFonts w:hint="eastAsia"/>
          <w:b/>
          <w:bCs/>
          <w:sz w:val="20"/>
          <w:szCs w:val="20"/>
          <w:lang w:val="en-US" w:eastAsia="zh-CN"/>
        </w:rPr>
      </w:pPr>
      <w:r>
        <w:rPr>
          <w:rFonts w:hint="eastAsia"/>
          <w:b/>
          <w:bCs/>
          <w:sz w:val="20"/>
          <w:szCs w:val="20"/>
          <w:lang w:val="en-US" w:eastAsia="zh-CN"/>
        </w:rPr>
        <w:t>2)The target donor CU may send the RANAC configuration to mobile IAB-MT via RRC signalling and then mobile IAB-DU</w:t>
      </w:r>
      <w:r>
        <w:rPr>
          <w:b/>
          <w:bCs/>
          <w:sz w:val="20"/>
          <w:szCs w:val="20"/>
          <w:lang w:val="en-US" w:eastAsia="zh-CN"/>
        </w:rPr>
        <w:t>’</w:t>
      </w:r>
      <w:r>
        <w:rPr>
          <w:rFonts w:hint="eastAsia"/>
          <w:b/>
          <w:bCs/>
          <w:sz w:val="20"/>
          <w:szCs w:val="20"/>
          <w:lang w:val="en-US" w:eastAsia="zh-CN"/>
        </w:rPr>
        <w:t>s cell broadcast this RANAC value in system information.</w:t>
      </w:r>
    </w:p>
    <w:p>
      <w:pPr>
        <w:numPr>
          <w:ilvl w:val="0"/>
          <w:numId w:val="0"/>
        </w:numPr>
        <w:jc w:val="both"/>
        <w:rPr>
          <w:rFonts w:hint="default"/>
          <w:b/>
          <w:bCs/>
          <w:sz w:val="20"/>
          <w:szCs w:val="20"/>
          <w:lang w:val="en-US" w:eastAsia="zh-CN"/>
        </w:rPr>
      </w:pPr>
      <w:r>
        <w:rPr>
          <w:rFonts w:hint="eastAsia"/>
          <w:b/>
          <w:bCs/>
          <w:sz w:val="20"/>
          <w:szCs w:val="20"/>
          <w:lang w:val="en-US" w:eastAsia="zh-CN"/>
        </w:rPr>
        <w:t>Proposal 3: In order to reduce the RNAU of RRC_INACTIVE UEs served by the mobile IAB-DU</w:t>
      </w:r>
      <w:r>
        <w:rPr>
          <w:b/>
          <w:bCs/>
          <w:sz w:val="20"/>
          <w:szCs w:val="20"/>
          <w:lang w:val="en-US" w:eastAsia="zh-CN"/>
        </w:rPr>
        <w:t>’</w:t>
      </w:r>
      <w:r>
        <w:rPr>
          <w:rFonts w:hint="eastAsia"/>
          <w:b/>
          <w:bCs/>
          <w:sz w:val="20"/>
          <w:szCs w:val="20"/>
          <w:lang w:val="en-US" w:eastAsia="zh-CN"/>
        </w:rPr>
        <w:t>s cell, it is suggested that the donor CU provide UEs served by the mobile IAB-DU</w:t>
      </w:r>
      <w:r>
        <w:rPr>
          <w:b/>
          <w:bCs/>
          <w:sz w:val="20"/>
          <w:szCs w:val="20"/>
          <w:lang w:val="en-US" w:eastAsia="zh-CN"/>
        </w:rPr>
        <w:t>’</w:t>
      </w:r>
      <w:r>
        <w:rPr>
          <w:rFonts w:hint="eastAsia"/>
          <w:b/>
          <w:bCs/>
          <w:sz w:val="20"/>
          <w:szCs w:val="20"/>
          <w:lang w:val="en-US" w:eastAsia="zh-CN"/>
        </w:rPr>
        <w:t xml:space="preserve">s cell with a list RANACs, which potentially will be broadcast by the mobile IAB nodes along the movement. </w:t>
      </w:r>
    </w:p>
    <w:p>
      <w:pPr>
        <w:jc w:val="both"/>
        <w:rPr>
          <w:rFonts w:hint="eastAsia"/>
          <w:b/>
          <w:bCs/>
          <w:sz w:val="20"/>
          <w:szCs w:val="20"/>
          <w:lang w:val="en-US" w:eastAsia="zh-CN"/>
        </w:rPr>
      </w:pPr>
      <w:r>
        <w:rPr>
          <w:rFonts w:hint="eastAsia"/>
          <w:b/>
          <w:bCs/>
          <w:sz w:val="20"/>
          <w:szCs w:val="20"/>
          <w:lang w:val="en-US" w:eastAsia="zh-CN"/>
        </w:rPr>
        <w:t>Proposal 4: For the RNA configuration via a list of NCGIs, in order to reduce unnecessary RNAU, the  RRC_INACTIVE UE may be notified of the NCGI change of the cells of mobile IAB-node-DU and UE may then replace the old NCGI with new NCGI of mobile IAB-node-DU</w:t>
      </w:r>
      <w:r>
        <w:rPr>
          <w:b/>
          <w:bCs/>
          <w:sz w:val="20"/>
          <w:szCs w:val="20"/>
          <w:lang w:val="en-US" w:eastAsia="zh-CN"/>
        </w:rPr>
        <w:t>’</w:t>
      </w:r>
      <w:r>
        <w:rPr>
          <w:rFonts w:hint="eastAsia"/>
          <w:b/>
          <w:bCs/>
          <w:sz w:val="20"/>
          <w:szCs w:val="20"/>
          <w:lang w:val="en-US" w:eastAsia="zh-CN"/>
        </w:rPr>
        <w:t>s cell for the cells included in the RNA configuration.</w:t>
      </w:r>
    </w:p>
    <w:p>
      <w:pPr>
        <w:jc w:val="both"/>
        <w:rPr>
          <w:rFonts w:hint="eastAsia"/>
          <w:lang w:val="en-US" w:eastAsia="zh-CN"/>
        </w:rPr>
      </w:pPr>
      <w:r>
        <w:rPr>
          <w:rFonts w:hint="eastAsia" w:eastAsia="等线"/>
          <w:b/>
          <w:bCs/>
          <w:lang w:val="en-US" w:eastAsia="zh-CN"/>
        </w:rPr>
        <w:t>Proposal 5: RAN2 to consider the PCI re-assignment for mobile IAB-DU</w:t>
      </w:r>
      <w:r>
        <w:rPr>
          <w:rFonts w:hint="default" w:eastAsia="等线"/>
          <w:b/>
          <w:bCs/>
          <w:lang w:val="en-US" w:eastAsia="zh-CN"/>
        </w:rPr>
        <w:t>’</w:t>
      </w:r>
      <w:r>
        <w:rPr>
          <w:rFonts w:hint="eastAsia" w:eastAsia="等线"/>
          <w:b/>
          <w:bCs/>
          <w:lang w:val="en-US" w:eastAsia="zh-CN"/>
        </w:rPr>
        <w:t>s cell during the HO preparation phase of co-located mobile IAB-MT.</w:t>
      </w:r>
    </w:p>
    <w:p>
      <w:pPr>
        <w:jc w:val="both"/>
        <w:rPr>
          <w:rFonts w:hint="eastAsia"/>
          <w:b/>
          <w:bCs/>
          <w:sz w:val="20"/>
          <w:szCs w:val="20"/>
          <w:lang w:val="en-US" w:eastAsia="zh-CN"/>
        </w:rPr>
      </w:pPr>
      <w:r>
        <w:rPr>
          <w:rFonts w:hint="eastAsia"/>
          <w:b/>
          <w:bCs/>
          <w:lang w:val="en-US" w:eastAsia="zh-CN"/>
        </w:rPr>
        <w:t xml:space="preserve">Proposal 6: To avoid neighbor gNB to add the mobile IAB cells into NCRT, it is suggested </w:t>
      </w:r>
      <w:r>
        <w:rPr>
          <w:rFonts w:hint="eastAsia"/>
          <w:b/>
          <w:bCs/>
          <w:highlight w:val="none"/>
          <w:lang w:val="en-US" w:eastAsia="zh-CN"/>
        </w:rPr>
        <w:t xml:space="preserve">UE indicates to gNB that the cell is for mobile IAB when UE is requested to report more information for a PCI associated with mobile IAB cell. </w:t>
      </w:r>
    </w:p>
    <w:p>
      <w:pPr>
        <w:pStyle w:val="2"/>
        <w:rPr>
          <w:rFonts w:eastAsia="宋体"/>
          <w:lang w:eastAsia="zh-CN"/>
        </w:rPr>
      </w:pPr>
      <w:r>
        <w:rPr>
          <w:rFonts w:hint="eastAsia" w:eastAsia="宋体"/>
          <w:lang w:eastAsia="zh-CN"/>
        </w:rPr>
        <w:t>Reference</w:t>
      </w:r>
    </w:p>
    <w:p>
      <w:pPr>
        <w:numPr>
          <w:ilvl w:val="0"/>
          <w:numId w:val="13"/>
        </w:numPr>
        <w:rPr>
          <w:lang w:val="en-US" w:eastAsia="zh-CN"/>
        </w:rPr>
      </w:pPr>
      <w:r>
        <w:rPr>
          <w:rFonts w:hint="eastAsia"/>
          <w:lang w:val="en-US" w:eastAsia="zh-CN"/>
        </w:rPr>
        <w:t>RAN2#1</w:t>
      </w:r>
      <w:r>
        <w:rPr>
          <w:lang w:val="en-US" w:eastAsia="zh-CN"/>
        </w:rPr>
        <w:t>2</w:t>
      </w:r>
      <w:r>
        <w:rPr>
          <w:rFonts w:hint="eastAsia"/>
          <w:lang w:val="en-US" w:eastAsia="zh-CN"/>
        </w:rPr>
        <w:t>1 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504020202020204"/>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5"/>
  </w:num>
  <w:num w:numId="5">
    <w:abstractNumId w:val="10"/>
  </w:num>
  <w:num w:numId="6">
    <w:abstractNumId w:val="7"/>
  </w:num>
  <w:num w:numId="7">
    <w:abstractNumId w:val="4"/>
  </w:num>
  <w:num w:numId="8">
    <w:abstractNumId w:val="12"/>
  </w:num>
  <w:num w:numId="9">
    <w:abstractNumId w:val="2"/>
  </w:num>
  <w:num w:numId="10">
    <w:abstractNumId w:val="11"/>
  </w:num>
  <w:num w:numId="11">
    <w:abstractNumId w:val="8"/>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CC3"/>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50"/>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6F3D"/>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2F1"/>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0A4"/>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800"/>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10D"/>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6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1D5"/>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3E68"/>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9C9"/>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78"/>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56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9F5"/>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B30"/>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6F98"/>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887"/>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457"/>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D4E"/>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679"/>
    <w:rsid w:val="00570D10"/>
    <w:rsid w:val="0057112E"/>
    <w:rsid w:val="00571265"/>
    <w:rsid w:val="00571378"/>
    <w:rsid w:val="00571966"/>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87AAA"/>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5C5"/>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4C6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1912"/>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4FA"/>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3C6"/>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47"/>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6AA"/>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3E0E"/>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1684"/>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85D"/>
    <w:rsid w:val="009F5C3D"/>
    <w:rsid w:val="009F5D50"/>
    <w:rsid w:val="009F5D86"/>
    <w:rsid w:val="009F606B"/>
    <w:rsid w:val="009F60B9"/>
    <w:rsid w:val="009F61B2"/>
    <w:rsid w:val="009F6450"/>
    <w:rsid w:val="009F65C3"/>
    <w:rsid w:val="009F6841"/>
    <w:rsid w:val="009F7D0B"/>
    <w:rsid w:val="009F7DC6"/>
    <w:rsid w:val="00A001F5"/>
    <w:rsid w:val="00A00714"/>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298"/>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7C9"/>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C84"/>
    <w:rsid w:val="00AC5ECC"/>
    <w:rsid w:val="00AC6137"/>
    <w:rsid w:val="00AC6156"/>
    <w:rsid w:val="00AC6556"/>
    <w:rsid w:val="00AC67C4"/>
    <w:rsid w:val="00AC69E2"/>
    <w:rsid w:val="00AC6FC4"/>
    <w:rsid w:val="00AC722B"/>
    <w:rsid w:val="00AC748E"/>
    <w:rsid w:val="00AC765E"/>
    <w:rsid w:val="00AC7B40"/>
    <w:rsid w:val="00AC7C68"/>
    <w:rsid w:val="00AC7E3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4E6"/>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7CB"/>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3A9"/>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3E14"/>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2AB"/>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E7E08"/>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EF3"/>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8DE"/>
    <w:rsid w:val="00D949C7"/>
    <w:rsid w:val="00D94D77"/>
    <w:rsid w:val="00D94E69"/>
    <w:rsid w:val="00D950CB"/>
    <w:rsid w:val="00D952E4"/>
    <w:rsid w:val="00D95624"/>
    <w:rsid w:val="00D9565E"/>
    <w:rsid w:val="00D956D4"/>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55"/>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7B0"/>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B80"/>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01"/>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BFD"/>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479"/>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0764A"/>
    <w:rsid w:val="013A4C6E"/>
    <w:rsid w:val="013B40A1"/>
    <w:rsid w:val="013B7B86"/>
    <w:rsid w:val="01445AC8"/>
    <w:rsid w:val="014F5AEC"/>
    <w:rsid w:val="01597E34"/>
    <w:rsid w:val="015D46BF"/>
    <w:rsid w:val="016B6E25"/>
    <w:rsid w:val="01791CB2"/>
    <w:rsid w:val="018121F4"/>
    <w:rsid w:val="0187447D"/>
    <w:rsid w:val="01A47FEC"/>
    <w:rsid w:val="01AB65A1"/>
    <w:rsid w:val="01B015B0"/>
    <w:rsid w:val="01B13133"/>
    <w:rsid w:val="01B60586"/>
    <w:rsid w:val="01C2533B"/>
    <w:rsid w:val="01CC21F9"/>
    <w:rsid w:val="01E350D1"/>
    <w:rsid w:val="01EE7061"/>
    <w:rsid w:val="01EF2C9E"/>
    <w:rsid w:val="01FD79B8"/>
    <w:rsid w:val="02067CF9"/>
    <w:rsid w:val="02072962"/>
    <w:rsid w:val="021B2FD6"/>
    <w:rsid w:val="02221303"/>
    <w:rsid w:val="023853F6"/>
    <w:rsid w:val="023B380D"/>
    <w:rsid w:val="02562A14"/>
    <w:rsid w:val="025B5430"/>
    <w:rsid w:val="02674F36"/>
    <w:rsid w:val="026D607F"/>
    <w:rsid w:val="026F5973"/>
    <w:rsid w:val="027B1D57"/>
    <w:rsid w:val="027F793D"/>
    <w:rsid w:val="02865A1B"/>
    <w:rsid w:val="028B2766"/>
    <w:rsid w:val="028C3C3A"/>
    <w:rsid w:val="029E07FE"/>
    <w:rsid w:val="02B5652D"/>
    <w:rsid w:val="02CB0E0D"/>
    <w:rsid w:val="02D8526C"/>
    <w:rsid w:val="02EB38B9"/>
    <w:rsid w:val="02EE0E74"/>
    <w:rsid w:val="02F00BEE"/>
    <w:rsid w:val="02F22456"/>
    <w:rsid w:val="030026D0"/>
    <w:rsid w:val="0300644B"/>
    <w:rsid w:val="03024BFE"/>
    <w:rsid w:val="03045E57"/>
    <w:rsid w:val="031242C4"/>
    <w:rsid w:val="03125D81"/>
    <w:rsid w:val="0335007C"/>
    <w:rsid w:val="03393D83"/>
    <w:rsid w:val="033C5EC0"/>
    <w:rsid w:val="03413437"/>
    <w:rsid w:val="034C18E0"/>
    <w:rsid w:val="034E210F"/>
    <w:rsid w:val="034E4466"/>
    <w:rsid w:val="035A3386"/>
    <w:rsid w:val="036E7530"/>
    <w:rsid w:val="03700661"/>
    <w:rsid w:val="03734967"/>
    <w:rsid w:val="03737E86"/>
    <w:rsid w:val="03741A76"/>
    <w:rsid w:val="03755849"/>
    <w:rsid w:val="03904624"/>
    <w:rsid w:val="039F105A"/>
    <w:rsid w:val="039F2528"/>
    <w:rsid w:val="03A77CDB"/>
    <w:rsid w:val="03AD7917"/>
    <w:rsid w:val="03C71ADF"/>
    <w:rsid w:val="03CF66D4"/>
    <w:rsid w:val="03D4423A"/>
    <w:rsid w:val="03DB11E2"/>
    <w:rsid w:val="03DD7F7E"/>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D11A7E"/>
    <w:rsid w:val="04D51DB9"/>
    <w:rsid w:val="04D6078B"/>
    <w:rsid w:val="04DC3315"/>
    <w:rsid w:val="04E2571E"/>
    <w:rsid w:val="04EC7690"/>
    <w:rsid w:val="04ED10B5"/>
    <w:rsid w:val="04EE00C4"/>
    <w:rsid w:val="04F82945"/>
    <w:rsid w:val="05040A56"/>
    <w:rsid w:val="0506279A"/>
    <w:rsid w:val="05073FED"/>
    <w:rsid w:val="050C6378"/>
    <w:rsid w:val="050F171D"/>
    <w:rsid w:val="05134032"/>
    <w:rsid w:val="05175F4B"/>
    <w:rsid w:val="051C7CEF"/>
    <w:rsid w:val="052565BD"/>
    <w:rsid w:val="052E44DD"/>
    <w:rsid w:val="053643FD"/>
    <w:rsid w:val="054606C5"/>
    <w:rsid w:val="054B7138"/>
    <w:rsid w:val="05582B00"/>
    <w:rsid w:val="05587C20"/>
    <w:rsid w:val="05587DDA"/>
    <w:rsid w:val="05697BE0"/>
    <w:rsid w:val="056B2FD4"/>
    <w:rsid w:val="056B6CE4"/>
    <w:rsid w:val="056C3975"/>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61DE1"/>
    <w:rsid w:val="05E765A1"/>
    <w:rsid w:val="05EC0947"/>
    <w:rsid w:val="05F25E08"/>
    <w:rsid w:val="06023813"/>
    <w:rsid w:val="06051705"/>
    <w:rsid w:val="06056BE7"/>
    <w:rsid w:val="06281D5E"/>
    <w:rsid w:val="0628331F"/>
    <w:rsid w:val="062A1949"/>
    <w:rsid w:val="06367268"/>
    <w:rsid w:val="06443493"/>
    <w:rsid w:val="064C02D3"/>
    <w:rsid w:val="06525D08"/>
    <w:rsid w:val="066327A9"/>
    <w:rsid w:val="06632969"/>
    <w:rsid w:val="0665774C"/>
    <w:rsid w:val="06667182"/>
    <w:rsid w:val="06911F5C"/>
    <w:rsid w:val="069D7084"/>
    <w:rsid w:val="06A505BC"/>
    <w:rsid w:val="06BE54F4"/>
    <w:rsid w:val="06C97CEE"/>
    <w:rsid w:val="06D250A7"/>
    <w:rsid w:val="06E1106D"/>
    <w:rsid w:val="06FC6542"/>
    <w:rsid w:val="07016055"/>
    <w:rsid w:val="07115BD3"/>
    <w:rsid w:val="07155AB1"/>
    <w:rsid w:val="07156B71"/>
    <w:rsid w:val="07273FDB"/>
    <w:rsid w:val="07283F32"/>
    <w:rsid w:val="073902B1"/>
    <w:rsid w:val="073C49D1"/>
    <w:rsid w:val="07400AA7"/>
    <w:rsid w:val="07486414"/>
    <w:rsid w:val="075375FC"/>
    <w:rsid w:val="075E7FC5"/>
    <w:rsid w:val="07620519"/>
    <w:rsid w:val="07620F20"/>
    <w:rsid w:val="0765096C"/>
    <w:rsid w:val="076524EC"/>
    <w:rsid w:val="077723B5"/>
    <w:rsid w:val="079048B0"/>
    <w:rsid w:val="079506D6"/>
    <w:rsid w:val="079D224E"/>
    <w:rsid w:val="07A10EF9"/>
    <w:rsid w:val="07A24DAE"/>
    <w:rsid w:val="07A53007"/>
    <w:rsid w:val="07B050BB"/>
    <w:rsid w:val="07B445EC"/>
    <w:rsid w:val="07CB1AF5"/>
    <w:rsid w:val="07E14486"/>
    <w:rsid w:val="07E5651E"/>
    <w:rsid w:val="07E85F02"/>
    <w:rsid w:val="07E95786"/>
    <w:rsid w:val="07E962E5"/>
    <w:rsid w:val="07F05A0E"/>
    <w:rsid w:val="07FD5B8D"/>
    <w:rsid w:val="08011AB9"/>
    <w:rsid w:val="0808110C"/>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2A0717"/>
    <w:rsid w:val="092F6CCC"/>
    <w:rsid w:val="093022B2"/>
    <w:rsid w:val="093422B8"/>
    <w:rsid w:val="09352B58"/>
    <w:rsid w:val="093E6F4A"/>
    <w:rsid w:val="09457234"/>
    <w:rsid w:val="094729AB"/>
    <w:rsid w:val="094E719C"/>
    <w:rsid w:val="09580F97"/>
    <w:rsid w:val="095E7DCF"/>
    <w:rsid w:val="096B03FF"/>
    <w:rsid w:val="096F777B"/>
    <w:rsid w:val="098113B0"/>
    <w:rsid w:val="09823672"/>
    <w:rsid w:val="09A343B5"/>
    <w:rsid w:val="09B55CF9"/>
    <w:rsid w:val="09BC2E8E"/>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B25BE"/>
    <w:rsid w:val="0A5F4A05"/>
    <w:rsid w:val="0A623302"/>
    <w:rsid w:val="0A661320"/>
    <w:rsid w:val="0A681411"/>
    <w:rsid w:val="0A6F3848"/>
    <w:rsid w:val="0A7A68E3"/>
    <w:rsid w:val="0A8E5BE2"/>
    <w:rsid w:val="0A900244"/>
    <w:rsid w:val="0AB0238C"/>
    <w:rsid w:val="0AB720D0"/>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423423"/>
    <w:rsid w:val="0B481F97"/>
    <w:rsid w:val="0B567FFC"/>
    <w:rsid w:val="0B5B4FF5"/>
    <w:rsid w:val="0B787CAC"/>
    <w:rsid w:val="0B7C2D77"/>
    <w:rsid w:val="0B7E1425"/>
    <w:rsid w:val="0B7E33BD"/>
    <w:rsid w:val="0B8067A3"/>
    <w:rsid w:val="0B937DA3"/>
    <w:rsid w:val="0B966DC2"/>
    <w:rsid w:val="0B9C5390"/>
    <w:rsid w:val="0BA72814"/>
    <w:rsid w:val="0BA74CF3"/>
    <w:rsid w:val="0BA75465"/>
    <w:rsid w:val="0BB1203A"/>
    <w:rsid w:val="0BB52A88"/>
    <w:rsid w:val="0BB635B6"/>
    <w:rsid w:val="0BC0582C"/>
    <w:rsid w:val="0BC97B87"/>
    <w:rsid w:val="0BCD0386"/>
    <w:rsid w:val="0BD11EF8"/>
    <w:rsid w:val="0BD9060A"/>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D2EE3"/>
    <w:rsid w:val="0CA95EE8"/>
    <w:rsid w:val="0CAA3776"/>
    <w:rsid w:val="0CAA584B"/>
    <w:rsid w:val="0CAC41AE"/>
    <w:rsid w:val="0CB337AA"/>
    <w:rsid w:val="0CC45E50"/>
    <w:rsid w:val="0CC868A7"/>
    <w:rsid w:val="0CCB2AFA"/>
    <w:rsid w:val="0CD07B3D"/>
    <w:rsid w:val="0CE4374C"/>
    <w:rsid w:val="0CF86EA2"/>
    <w:rsid w:val="0D090A9B"/>
    <w:rsid w:val="0D0B3AE7"/>
    <w:rsid w:val="0D1B7692"/>
    <w:rsid w:val="0D25736F"/>
    <w:rsid w:val="0D2974B3"/>
    <w:rsid w:val="0D2E50C1"/>
    <w:rsid w:val="0D315A17"/>
    <w:rsid w:val="0D4450E8"/>
    <w:rsid w:val="0D446417"/>
    <w:rsid w:val="0D473C1A"/>
    <w:rsid w:val="0D5153C6"/>
    <w:rsid w:val="0D546E25"/>
    <w:rsid w:val="0D561F10"/>
    <w:rsid w:val="0D681B0E"/>
    <w:rsid w:val="0D6876BC"/>
    <w:rsid w:val="0D76077C"/>
    <w:rsid w:val="0D796521"/>
    <w:rsid w:val="0D7E5C19"/>
    <w:rsid w:val="0D8B330B"/>
    <w:rsid w:val="0D930B9B"/>
    <w:rsid w:val="0D9533A2"/>
    <w:rsid w:val="0D9B02A5"/>
    <w:rsid w:val="0DAB6775"/>
    <w:rsid w:val="0DB827DE"/>
    <w:rsid w:val="0DCD68E1"/>
    <w:rsid w:val="0DD6175F"/>
    <w:rsid w:val="0DDC42E4"/>
    <w:rsid w:val="0E02571A"/>
    <w:rsid w:val="0E04044F"/>
    <w:rsid w:val="0E040C64"/>
    <w:rsid w:val="0E0B4BF2"/>
    <w:rsid w:val="0E0D46A1"/>
    <w:rsid w:val="0E195F3C"/>
    <w:rsid w:val="0E1D020C"/>
    <w:rsid w:val="0E1E06DD"/>
    <w:rsid w:val="0E2B3498"/>
    <w:rsid w:val="0E410195"/>
    <w:rsid w:val="0E4E17BA"/>
    <w:rsid w:val="0E537E47"/>
    <w:rsid w:val="0E63577F"/>
    <w:rsid w:val="0E6C1770"/>
    <w:rsid w:val="0E746972"/>
    <w:rsid w:val="0E874158"/>
    <w:rsid w:val="0E912655"/>
    <w:rsid w:val="0E936C61"/>
    <w:rsid w:val="0E945725"/>
    <w:rsid w:val="0E9B667F"/>
    <w:rsid w:val="0EB648ED"/>
    <w:rsid w:val="0EB76970"/>
    <w:rsid w:val="0EBD130E"/>
    <w:rsid w:val="0EC10662"/>
    <w:rsid w:val="0ED23F89"/>
    <w:rsid w:val="0EE74D70"/>
    <w:rsid w:val="0EFC7DA7"/>
    <w:rsid w:val="0EFE523A"/>
    <w:rsid w:val="0F142574"/>
    <w:rsid w:val="0F245617"/>
    <w:rsid w:val="0F46488F"/>
    <w:rsid w:val="0F4C36C8"/>
    <w:rsid w:val="0F5F0E06"/>
    <w:rsid w:val="0F640159"/>
    <w:rsid w:val="0F6C61FA"/>
    <w:rsid w:val="0F7052E6"/>
    <w:rsid w:val="0F757973"/>
    <w:rsid w:val="0F772B49"/>
    <w:rsid w:val="0F7D7A1F"/>
    <w:rsid w:val="0F802E0A"/>
    <w:rsid w:val="0F805F18"/>
    <w:rsid w:val="0F8A366F"/>
    <w:rsid w:val="0F8C1716"/>
    <w:rsid w:val="0F966505"/>
    <w:rsid w:val="0F9930A4"/>
    <w:rsid w:val="0F9B5B18"/>
    <w:rsid w:val="0F9E41B4"/>
    <w:rsid w:val="0F9F05E5"/>
    <w:rsid w:val="0FA846DC"/>
    <w:rsid w:val="0FAF752F"/>
    <w:rsid w:val="0FB72C2B"/>
    <w:rsid w:val="0FCA20EB"/>
    <w:rsid w:val="0FCD0C7F"/>
    <w:rsid w:val="0FCD1445"/>
    <w:rsid w:val="0FCD2861"/>
    <w:rsid w:val="0FD36F03"/>
    <w:rsid w:val="0FD95BF4"/>
    <w:rsid w:val="0FDA54AA"/>
    <w:rsid w:val="0FDD75AE"/>
    <w:rsid w:val="0FE46501"/>
    <w:rsid w:val="0FF237A8"/>
    <w:rsid w:val="100150A0"/>
    <w:rsid w:val="10032C53"/>
    <w:rsid w:val="10161BA7"/>
    <w:rsid w:val="10244F0E"/>
    <w:rsid w:val="102E4420"/>
    <w:rsid w:val="1032683E"/>
    <w:rsid w:val="10374454"/>
    <w:rsid w:val="103F1735"/>
    <w:rsid w:val="10442CB0"/>
    <w:rsid w:val="104500A8"/>
    <w:rsid w:val="104F012F"/>
    <w:rsid w:val="106606A4"/>
    <w:rsid w:val="106C17A6"/>
    <w:rsid w:val="107A0C72"/>
    <w:rsid w:val="10810AA8"/>
    <w:rsid w:val="109C2255"/>
    <w:rsid w:val="10AE1171"/>
    <w:rsid w:val="10C97528"/>
    <w:rsid w:val="10CC36E9"/>
    <w:rsid w:val="10D1157C"/>
    <w:rsid w:val="10E55F62"/>
    <w:rsid w:val="10EE6FEE"/>
    <w:rsid w:val="10F472F5"/>
    <w:rsid w:val="11003578"/>
    <w:rsid w:val="1114768E"/>
    <w:rsid w:val="11205E74"/>
    <w:rsid w:val="112325DA"/>
    <w:rsid w:val="112742FC"/>
    <w:rsid w:val="112F045E"/>
    <w:rsid w:val="11312E7E"/>
    <w:rsid w:val="114762BA"/>
    <w:rsid w:val="114B43DF"/>
    <w:rsid w:val="11534747"/>
    <w:rsid w:val="115C2787"/>
    <w:rsid w:val="1161496B"/>
    <w:rsid w:val="116C578C"/>
    <w:rsid w:val="11717B47"/>
    <w:rsid w:val="117637C2"/>
    <w:rsid w:val="117A5F3A"/>
    <w:rsid w:val="1184418C"/>
    <w:rsid w:val="11861AF7"/>
    <w:rsid w:val="11945129"/>
    <w:rsid w:val="119F6317"/>
    <w:rsid w:val="11B311F2"/>
    <w:rsid w:val="11B95C93"/>
    <w:rsid w:val="11C701F1"/>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49506D"/>
    <w:rsid w:val="12505C6D"/>
    <w:rsid w:val="125509A0"/>
    <w:rsid w:val="12620E97"/>
    <w:rsid w:val="126C3536"/>
    <w:rsid w:val="126F1F4B"/>
    <w:rsid w:val="1273677B"/>
    <w:rsid w:val="127530AF"/>
    <w:rsid w:val="12766E6A"/>
    <w:rsid w:val="127D7052"/>
    <w:rsid w:val="12885826"/>
    <w:rsid w:val="128A4BF6"/>
    <w:rsid w:val="12932EFE"/>
    <w:rsid w:val="12944EC4"/>
    <w:rsid w:val="12951926"/>
    <w:rsid w:val="129D6F90"/>
    <w:rsid w:val="12C219F1"/>
    <w:rsid w:val="12CE19E6"/>
    <w:rsid w:val="12D533D2"/>
    <w:rsid w:val="12D752A3"/>
    <w:rsid w:val="12E26B3A"/>
    <w:rsid w:val="12EC6383"/>
    <w:rsid w:val="12EE33AC"/>
    <w:rsid w:val="12EF6841"/>
    <w:rsid w:val="12F571E9"/>
    <w:rsid w:val="13080271"/>
    <w:rsid w:val="1311514F"/>
    <w:rsid w:val="131B6D1D"/>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F36B6C"/>
    <w:rsid w:val="13F40DF1"/>
    <w:rsid w:val="13F66306"/>
    <w:rsid w:val="13FF1965"/>
    <w:rsid w:val="14094AFA"/>
    <w:rsid w:val="141F3605"/>
    <w:rsid w:val="14250E1C"/>
    <w:rsid w:val="142A6E8C"/>
    <w:rsid w:val="142C08DC"/>
    <w:rsid w:val="142E1692"/>
    <w:rsid w:val="143203FE"/>
    <w:rsid w:val="143278A3"/>
    <w:rsid w:val="143F24FA"/>
    <w:rsid w:val="1446125F"/>
    <w:rsid w:val="1448114C"/>
    <w:rsid w:val="1448311D"/>
    <w:rsid w:val="144A597A"/>
    <w:rsid w:val="144A5CCA"/>
    <w:rsid w:val="14623392"/>
    <w:rsid w:val="146E08ED"/>
    <w:rsid w:val="147E2601"/>
    <w:rsid w:val="148B2701"/>
    <w:rsid w:val="1492399C"/>
    <w:rsid w:val="149A2E43"/>
    <w:rsid w:val="14A06EC2"/>
    <w:rsid w:val="14A23F95"/>
    <w:rsid w:val="14A27222"/>
    <w:rsid w:val="14AE12BA"/>
    <w:rsid w:val="14B73392"/>
    <w:rsid w:val="14C13FDB"/>
    <w:rsid w:val="14CE7B73"/>
    <w:rsid w:val="14D32724"/>
    <w:rsid w:val="14D84191"/>
    <w:rsid w:val="14E03043"/>
    <w:rsid w:val="14E0314C"/>
    <w:rsid w:val="14E2478F"/>
    <w:rsid w:val="14E435FC"/>
    <w:rsid w:val="14F45292"/>
    <w:rsid w:val="14F4722B"/>
    <w:rsid w:val="14F65C86"/>
    <w:rsid w:val="14F70046"/>
    <w:rsid w:val="14F76726"/>
    <w:rsid w:val="14FB45CA"/>
    <w:rsid w:val="150C1BA5"/>
    <w:rsid w:val="151123EF"/>
    <w:rsid w:val="15125701"/>
    <w:rsid w:val="1516018E"/>
    <w:rsid w:val="151A2B60"/>
    <w:rsid w:val="15217D77"/>
    <w:rsid w:val="152A1E52"/>
    <w:rsid w:val="1542182D"/>
    <w:rsid w:val="15551327"/>
    <w:rsid w:val="15587802"/>
    <w:rsid w:val="15611C97"/>
    <w:rsid w:val="15714BE7"/>
    <w:rsid w:val="15777BF2"/>
    <w:rsid w:val="1587701B"/>
    <w:rsid w:val="158C19B1"/>
    <w:rsid w:val="15971401"/>
    <w:rsid w:val="15987EDF"/>
    <w:rsid w:val="159F6551"/>
    <w:rsid w:val="15AA6AD1"/>
    <w:rsid w:val="15AB1179"/>
    <w:rsid w:val="15B4366E"/>
    <w:rsid w:val="15B65D6A"/>
    <w:rsid w:val="15CB362E"/>
    <w:rsid w:val="15D61985"/>
    <w:rsid w:val="15E5132B"/>
    <w:rsid w:val="15E6781B"/>
    <w:rsid w:val="15EF0DB2"/>
    <w:rsid w:val="15F1298D"/>
    <w:rsid w:val="15F522CC"/>
    <w:rsid w:val="15F76C35"/>
    <w:rsid w:val="16043574"/>
    <w:rsid w:val="16046B5F"/>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15179"/>
    <w:rsid w:val="1692260F"/>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34D1C"/>
    <w:rsid w:val="19C879C9"/>
    <w:rsid w:val="19E90A65"/>
    <w:rsid w:val="19F13C55"/>
    <w:rsid w:val="19F3039F"/>
    <w:rsid w:val="19F756C5"/>
    <w:rsid w:val="1A0301A3"/>
    <w:rsid w:val="1A06256E"/>
    <w:rsid w:val="1A145E68"/>
    <w:rsid w:val="1A197C48"/>
    <w:rsid w:val="1A1B7AF6"/>
    <w:rsid w:val="1A1E4DFD"/>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4F17"/>
    <w:rsid w:val="1A8D7BE0"/>
    <w:rsid w:val="1A986421"/>
    <w:rsid w:val="1A9A7539"/>
    <w:rsid w:val="1AA03E54"/>
    <w:rsid w:val="1AA11FE9"/>
    <w:rsid w:val="1ABF33B5"/>
    <w:rsid w:val="1AC43521"/>
    <w:rsid w:val="1AC50442"/>
    <w:rsid w:val="1ACB051E"/>
    <w:rsid w:val="1ACF75D8"/>
    <w:rsid w:val="1ADC3233"/>
    <w:rsid w:val="1AE0535F"/>
    <w:rsid w:val="1AEA71EF"/>
    <w:rsid w:val="1AF74EC0"/>
    <w:rsid w:val="1B027BE5"/>
    <w:rsid w:val="1B0E7C8F"/>
    <w:rsid w:val="1B0F1462"/>
    <w:rsid w:val="1B1043FB"/>
    <w:rsid w:val="1B186537"/>
    <w:rsid w:val="1B2A1F85"/>
    <w:rsid w:val="1B3615CE"/>
    <w:rsid w:val="1B3631FD"/>
    <w:rsid w:val="1B427988"/>
    <w:rsid w:val="1B430F46"/>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B90FC0"/>
    <w:rsid w:val="1BCA1C0C"/>
    <w:rsid w:val="1BD64E8D"/>
    <w:rsid w:val="1BDC0BD9"/>
    <w:rsid w:val="1BEC765B"/>
    <w:rsid w:val="1BEE67BD"/>
    <w:rsid w:val="1BF0772F"/>
    <w:rsid w:val="1BF47D45"/>
    <w:rsid w:val="1BF57AB9"/>
    <w:rsid w:val="1C023AC3"/>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E9775C"/>
    <w:rsid w:val="1CEC0815"/>
    <w:rsid w:val="1CF26B79"/>
    <w:rsid w:val="1CF65B26"/>
    <w:rsid w:val="1D03170E"/>
    <w:rsid w:val="1D052A3D"/>
    <w:rsid w:val="1D0B69AF"/>
    <w:rsid w:val="1D172F4E"/>
    <w:rsid w:val="1D2B3138"/>
    <w:rsid w:val="1D2D4DC0"/>
    <w:rsid w:val="1D303738"/>
    <w:rsid w:val="1D363824"/>
    <w:rsid w:val="1D42588B"/>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C0986"/>
    <w:rsid w:val="1E5752A2"/>
    <w:rsid w:val="1E5D25FB"/>
    <w:rsid w:val="1E6471BC"/>
    <w:rsid w:val="1E696878"/>
    <w:rsid w:val="1E76494F"/>
    <w:rsid w:val="1E906FE9"/>
    <w:rsid w:val="1E94288A"/>
    <w:rsid w:val="1EA40027"/>
    <w:rsid w:val="1EB50B50"/>
    <w:rsid w:val="1EBA31B8"/>
    <w:rsid w:val="1EBD6AFE"/>
    <w:rsid w:val="1EC24C3E"/>
    <w:rsid w:val="1ECD43D6"/>
    <w:rsid w:val="1EDE2EB1"/>
    <w:rsid w:val="1EF3055A"/>
    <w:rsid w:val="1EFA616B"/>
    <w:rsid w:val="1F0038E4"/>
    <w:rsid w:val="1F0734FD"/>
    <w:rsid w:val="1F0B419D"/>
    <w:rsid w:val="1F0C3179"/>
    <w:rsid w:val="1F167841"/>
    <w:rsid w:val="1F1A0725"/>
    <w:rsid w:val="1F1E2769"/>
    <w:rsid w:val="1F200D82"/>
    <w:rsid w:val="1F2471EE"/>
    <w:rsid w:val="1F2F0772"/>
    <w:rsid w:val="1F3B755B"/>
    <w:rsid w:val="1F47434F"/>
    <w:rsid w:val="1F476A88"/>
    <w:rsid w:val="1F5076C2"/>
    <w:rsid w:val="1F5129AD"/>
    <w:rsid w:val="1F551C0C"/>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6731C"/>
    <w:rsid w:val="1FD735E1"/>
    <w:rsid w:val="1FD811DB"/>
    <w:rsid w:val="1FDF4828"/>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C1C74"/>
    <w:rsid w:val="20625F66"/>
    <w:rsid w:val="206406E2"/>
    <w:rsid w:val="206B7976"/>
    <w:rsid w:val="207024C8"/>
    <w:rsid w:val="2072385E"/>
    <w:rsid w:val="20766F51"/>
    <w:rsid w:val="208607BE"/>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40451"/>
    <w:rsid w:val="210A644E"/>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820C75"/>
    <w:rsid w:val="21846ED1"/>
    <w:rsid w:val="21964D08"/>
    <w:rsid w:val="21A61743"/>
    <w:rsid w:val="21AE0533"/>
    <w:rsid w:val="21B5378E"/>
    <w:rsid w:val="21CE6894"/>
    <w:rsid w:val="21D66EB2"/>
    <w:rsid w:val="21D677FD"/>
    <w:rsid w:val="21E359B2"/>
    <w:rsid w:val="22011200"/>
    <w:rsid w:val="22067AB1"/>
    <w:rsid w:val="22096534"/>
    <w:rsid w:val="220C6CB6"/>
    <w:rsid w:val="220D51F5"/>
    <w:rsid w:val="220E4D48"/>
    <w:rsid w:val="22201BFF"/>
    <w:rsid w:val="22274ED6"/>
    <w:rsid w:val="22287020"/>
    <w:rsid w:val="222E0FAA"/>
    <w:rsid w:val="222F007E"/>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1598E"/>
    <w:rsid w:val="22B3517E"/>
    <w:rsid w:val="22BA3BAD"/>
    <w:rsid w:val="22C40F57"/>
    <w:rsid w:val="22CC3FBB"/>
    <w:rsid w:val="22D62F45"/>
    <w:rsid w:val="22D86942"/>
    <w:rsid w:val="22DB748A"/>
    <w:rsid w:val="22E317D6"/>
    <w:rsid w:val="22E44202"/>
    <w:rsid w:val="22E90FEA"/>
    <w:rsid w:val="22F63B66"/>
    <w:rsid w:val="22F73646"/>
    <w:rsid w:val="22FA30ED"/>
    <w:rsid w:val="22FD074A"/>
    <w:rsid w:val="22FD5433"/>
    <w:rsid w:val="23067226"/>
    <w:rsid w:val="231224B0"/>
    <w:rsid w:val="23207208"/>
    <w:rsid w:val="23280E1D"/>
    <w:rsid w:val="232C3617"/>
    <w:rsid w:val="232E2C8D"/>
    <w:rsid w:val="233765B8"/>
    <w:rsid w:val="233E5A4D"/>
    <w:rsid w:val="234241F8"/>
    <w:rsid w:val="23437086"/>
    <w:rsid w:val="2345250F"/>
    <w:rsid w:val="23471626"/>
    <w:rsid w:val="23474527"/>
    <w:rsid w:val="234B0AA6"/>
    <w:rsid w:val="234D4690"/>
    <w:rsid w:val="23631AA5"/>
    <w:rsid w:val="236E4B3E"/>
    <w:rsid w:val="237C4FD3"/>
    <w:rsid w:val="238F61B0"/>
    <w:rsid w:val="239D0DA0"/>
    <w:rsid w:val="23A579EF"/>
    <w:rsid w:val="23A91007"/>
    <w:rsid w:val="23AC5873"/>
    <w:rsid w:val="23B42381"/>
    <w:rsid w:val="23C323AD"/>
    <w:rsid w:val="23C33D86"/>
    <w:rsid w:val="23C50EBC"/>
    <w:rsid w:val="23C605A0"/>
    <w:rsid w:val="23CB2EB7"/>
    <w:rsid w:val="23D15303"/>
    <w:rsid w:val="23E168C8"/>
    <w:rsid w:val="23E96424"/>
    <w:rsid w:val="23EA5719"/>
    <w:rsid w:val="23EC6601"/>
    <w:rsid w:val="23F0420C"/>
    <w:rsid w:val="23F63334"/>
    <w:rsid w:val="240109AF"/>
    <w:rsid w:val="24034507"/>
    <w:rsid w:val="240C5F4F"/>
    <w:rsid w:val="24137C68"/>
    <w:rsid w:val="24155A0F"/>
    <w:rsid w:val="24204B94"/>
    <w:rsid w:val="242D09BB"/>
    <w:rsid w:val="2430254A"/>
    <w:rsid w:val="24353EA7"/>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7F6E82"/>
    <w:rsid w:val="24837726"/>
    <w:rsid w:val="24845BF9"/>
    <w:rsid w:val="2489673F"/>
    <w:rsid w:val="24932814"/>
    <w:rsid w:val="24987A67"/>
    <w:rsid w:val="249F38BC"/>
    <w:rsid w:val="24A36F3B"/>
    <w:rsid w:val="24A74FC4"/>
    <w:rsid w:val="24B61287"/>
    <w:rsid w:val="24C50181"/>
    <w:rsid w:val="24C6543E"/>
    <w:rsid w:val="24CA4005"/>
    <w:rsid w:val="24E97369"/>
    <w:rsid w:val="24EC1129"/>
    <w:rsid w:val="24EC2FED"/>
    <w:rsid w:val="24F35545"/>
    <w:rsid w:val="24FA5868"/>
    <w:rsid w:val="25042C75"/>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534FD"/>
    <w:rsid w:val="25FD114A"/>
    <w:rsid w:val="26035786"/>
    <w:rsid w:val="261661B4"/>
    <w:rsid w:val="261848CD"/>
    <w:rsid w:val="261A71A2"/>
    <w:rsid w:val="26301512"/>
    <w:rsid w:val="264A72BC"/>
    <w:rsid w:val="2652203C"/>
    <w:rsid w:val="265459B4"/>
    <w:rsid w:val="265715E2"/>
    <w:rsid w:val="2659571E"/>
    <w:rsid w:val="265B48E7"/>
    <w:rsid w:val="265E4818"/>
    <w:rsid w:val="265F0495"/>
    <w:rsid w:val="265F59FB"/>
    <w:rsid w:val="266555A1"/>
    <w:rsid w:val="2669016B"/>
    <w:rsid w:val="267366B5"/>
    <w:rsid w:val="267A50E3"/>
    <w:rsid w:val="26A61A31"/>
    <w:rsid w:val="26A979B6"/>
    <w:rsid w:val="26AE5365"/>
    <w:rsid w:val="26B01E3E"/>
    <w:rsid w:val="26B506F6"/>
    <w:rsid w:val="26CB4EC9"/>
    <w:rsid w:val="26CC4EED"/>
    <w:rsid w:val="26DD5ADB"/>
    <w:rsid w:val="26DE6381"/>
    <w:rsid w:val="26E25FB5"/>
    <w:rsid w:val="26E43629"/>
    <w:rsid w:val="26E80BEB"/>
    <w:rsid w:val="26ED06D9"/>
    <w:rsid w:val="26ED270B"/>
    <w:rsid w:val="26F07E40"/>
    <w:rsid w:val="26F207AC"/>
    <w:rsid w:val="270636C6"/>
    <w:rsid w:val="270B24B1"/>
    <w:rsid w:val="271640FF"/>
    <w:rsid w:val="27203B3F"/>
    <w:rsid w:val="27261664"/>
    <w:rsid w:val="272A5204"/>
    <w:rsid w:val="273534DB"/>
    <w:rsid w:val="27355906"/>
    <w:rsid w:val="275609E0"/>
    <w:rsid w:val="27603599"/>
    <w:rsid w:val="276C3B61"/>
    <w:rsid w:val="278C3909"/>
    <w:rsid w:val="27940BAD"/>
    <w:rsid w:val="27982067"/>
    <w:rsid w:val="27991B1F"/>
    <w:rsid w:val="279F0993"/>
    <w:rsid w:val="27A95161"/>
    <w:rsid w:val="27AA1A34"/>
    <w:rsid w:val="27BD1C0D"/>
    <w:rsid w:val="27D1143A"/>
    <w:rsid w:val="27D41A55"/>
    <w:rsid w:val="27DC4A80"/>
    <w:rsid w:val="27DD0A5A"/>
    <w:rsid w:val="27E25B20"/>
    <w:rsid w:val="27E43F04"/>
    <w:rsid w:val="27EA52BA"/>
    <w:rsid w:val="27EB33AE"/>
    <w:rsid w:val="27EC7621"/>
    <w:rsid w:val="27EE405D"/>
    <w:rsid w:val="27EF0B98"/>
    <w:rsid w:val="27F12F64"/>
    <w:rsid w:val="27F3735C"/>
    <w:rsid w:val="27F47CC7"/>
    <w:rsid w:val="280C36A8"/>
    <w:rsid w:val="281F1DE5"/>
    <w:rsid w:val="2820368C"/>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9055D42"/>
    <w:rsid w:val="29061CE7"/>
    <w:rsid w:val="29100FAE"/>
    <w:rsid w:val="29114A42"/>
    <w:rsid w:val="291214CA"/>
    <w:rsid w:val="29162F5A"/>
    <w:rsid w:val="291E1FF1"/>
    <w:rsid w:val="2920423B"/>
    <w:rsid w:val="2931714B"/>
    <w:rsid w:val="2952249E"/>
    <w:rsid w:val="29536D65"/>
    <w:rsid w:val="295423C6"/>
    <w:rsid w:val="29552A6A"/>
    <w:rsid w:val="29626740"/>
    <w:rsid w:val="2983678D"/>
    <w:rsid w:val="29906E90"/>
    <w:rsid w:val="29907280"/>
    <w:rsid w:val="299D31D6"/>
    <w:rsid w:val="29A90979"/>
    <w:rsid w:val="29AC0439"/>
    <w:rsid w:val="29AD7277"/>
    <w:rsid w:val="29B3178A"/>
    <w:rsid w:val="29BB1CA5"/>
    <w:rsid w:val="29BC445F"/>
    <w:rsid w:val="29BD52CC"/>
    <w:rsid w:val="29C323D1"/>
    <w:rsid w:val="29C92FE8"/>
    <w:rsid w:val="29D25637"/>
    <w:rsid w:val="29D977F6"/>
    <w:rsid w:val="29DA7DD5"/>
    <w:rsid w:val="29E67349"/>
    <w:rsid w:val="29E74C01"/>
    <w:rsid w:val="29FD37E2"/>
    <w:rsid w:val="2A040F28"/>
    <w:rsid w:val="2A053652"/>
    <w:rsid w:val="2A067415"/>
    <w:rsid w:val="2A0800E5"/>
    <w:rsid w:val="2A0A2044"/>
    <w:rsid w:val="2A0F4C0F"/>
    <w:rsid w:val="2A11085A"/>
    <w:rsid w:val="2A1A3866"/>
    <w:rsid w:val="2A1E00C4"/>
    <w:rsid w:val="2A212DCF"/>
    <w:rsid w:val="2A266B79"/>
    <w:rsid w:val="2A2D10E2"/>
    <w:rsid w:val="2A406D3A"/>
    <w:rsid w:val="2A407645"/>
    <w:rsid w:val="2A505939"/>
    <w:rsid w:val="2A50703B"/>
    <w:rsid w:val="2A516190"/>
    <w:rsid w:val="2A6E29BB"/>
    <w:rsid w:val="2A807789"/>
    <w:rsid w:val="2A883834"/>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166A2"/>
    <w:rsid w:val="2B8A79C9"/>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16DB2"/>
    <w:rsid w:val="2C324612"/>
    <w:rsid w:val="2C3A29A8"/>
    <w:rsid w:val="2C4053CD"/>
    <w:rsid w:val="2C474372"/>
    <w:rsid w:val="2C4D6410"/>
    <w:rsid w:val="2C4E5281"/>
    <w:rsid w:val="2C4E7CEA"/>
    <w:rsid w:val="2C506EE9"/>
    <w:rsid w:val="2C5246A6"/>
    <w:rsid w:val="2C5E27E1"/>
    <w:rsid w:val="2C5E3727"/>
    <w:rsid w:val="2C677685"/>
    <w:rsid w:val="2C771849"/>
    <w:rsid w:val="2C7F3AC3"/>
    <w:rsid w:val="2C806B61"/>
    <w:rsid w:val="2C981A73"/>
    <w:rsid w:val="2C9F3440"/>
    <w:rsid w:val="2CA1068F"/>
    <w:rsid w:val="2CD23532"/>
    <w:rsid w:val="2CD81019"/>
    <w:rsid w:val="2CE074B2"/>
    <w:rsid w:val="2CEC6471"/>
    <w:rsid w:val="2CEF1368"/>
    <w:rsid w:val="2D0C15E0"/>
    <w:rsid w:val="2D1A3816"/>
    <w:rsid w:val="2D1E7CD5"/>
    <w:rsid w:val="2D2140D4"/>
    <w:rsid w:val="2D2519AA"/>
    <w:rsid w:val="2D2C4AF5"/>
    <w:rsid w:val="2D3523C5"/>
    <w:rsid w:val="2D3D77C2"/>
    <w:rsid w:val="2D4957EB"/>
    <w:rsid w:val="2D4F527C"/>
    <w:rsid w:val="2D5233D5"/>
    <w:rsid w:val="2D64342C"/>
    <w:rsid w:val="2D644C4A"/>
    <w:rsid w:val="2D810A54"/>
    <w:rsid w:val="2D880A3C"/>
    <w:rsid w:val="2D914D1C"/>
    <w:rsid w:val="2DA17515"/>
    <w:rsid w:val="2DA64F75"/>
    <w:rsid w:val="2DAE5715"/>
    <w:rsid w:val="2DC056BD"/>
    <w:rsid w:val="2DCE3801"/>
    <w:rsid w:val="2DE865BD"/>
    <w:rsid w:val="2DEB07E9"/>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83EB8"/>
    <w:rsid w:val="2EC008F0"/>
    <w:rsid w:val="2EC54539"/>
    <w:rsid w:val="2EC71DAF"/>
    <w:rsid w:val="2EC93C48"/>
    <w:rsid w:val="2EDF0930"/>
    <w:rsid w:val="2EEA73AF"/>
    <w:rsid w:val="2EEB093D"/>
    <w:rsid w:val="2EF73395"/>
    <w:rsid w:val="2F133CFD"/>
    <w:rsid w:val="2F1519EB"/>
    <w:rsid w:val="2F190A69"/>
    <w:rsid w:val="2F193C16"/>
    <w:rsid w:val="2F1F3CBF"/>
    <w:rsid w:val="2F225061"/>
    <w:rsid w:val="2F234949"/>
    <w:rsid w:val="2F323B43"/>
    <w:rsid w:val="2F7B650E"/>
    <w:rsid w:val="2F830060"/>
    <w:rsid w:val="2F87657B"/>
    <w:rsid w:val="2F8901FB"/>
    <w:rsid w:val="2F8D1523"/>
    <w:rsid w:val="2F983FFB"/>
    <w:rsid w:val="2F9E5006"/>
    <w:rsid w:val="2FA23978"/>
    <w:rsid w:val="2FAE4E31"/>
    <w:rsid w:val="2FAE7190"/>
    <w:rsid w:val="2FB52B44"/>
    <w:rsid w:val="2FBC74E0"/>
    <w:rsid w:val="2FD070E4"/>
    <w:rsid w:val="2FD13B51"/>
    <w:rsid w:val="2FD213D2"/>
    <w:rsid w:val="2FE32A99"/>
    <w:rsid w:val="2FE96701"/>
    <w:rsid w:val="2FEA5B08"/>
    <w:rsid w:val="30036934"/>
    <w:rsid w:val="300762C4"/>
    <w:rsid w:val="302374AB"/>
    <w:rsid w:val="302C16E1"/>
    <w:rsid w:val="30326E67"/>
    <w:rsid w:val="303760BE"/>
    <w:rsid w:val="303D1568"/>
    <w:rsid w:val="3044343B"/>
    <w:rsid w:val="304527A5"/>
    <w:rsid w:val="305460EA"/>
    <w:rsid w:val="30572BB4"/>
    <w:rsid w:val="30681CC3"/>
    <w:rsid w:val="306D4999"/>
    <w:rsid w:val="306D542C"/>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173BBE"/>
    <w:rsid w:val="311A5DEA"/>
    <w:rsid w:val="311C73B4"/>
    <w:rsid w:val="311F55F5"/>
    <w:rsid w:val="312B2EBD"/>
    <w:rsid w:val="314E0F4E"/>
    <w:rsid w:val="31581D78"/>
    <w:rsid w:val="31585E6C"/>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C16AE"/>
    <w:rsid w:val="31DD2943"/>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C29FA"/>
    <w:rsid w:val="32925304"/>
    <w:rsid w:val="32A02C24"/>
    <w:rsid w:val="32A12270"/>
    <w:rsid w:val="32A22B2D"/>
    <w:rsid w:val="32A41D46"/>
    <w:rsid w:val="32AD79D4"/>
    <w:rsid w:val="32BB2978"/>
    <w:rsid w:val="32C35081"/>
    <w:rsid w:val="32C46ECF"/>
    <w:rsid w:val="32C84D5E"/>
    <w:rsid w:val="32CA45DA"/>
    <w:rsid w:val="32CB472B"/>
    <w:rsid w:val="32E130E4"/>
    <w:rsid w:val="32E602F9"/>
    <w:rsid w:val="32EF4EC7"/>
    <w:rsid w:val="32F73847"/>
    <w:rsid w:val="33076A47"/>
    <w:rsid w:val="33094A27"/>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C0DF9"/>
    <w:rsid w:val="341D5C5A"/>
    <w:rsid w:val="341E5ABB"/>
    <w:rsid w:val="342330D5"/>
    <w:rsid w:val="34294D0B"/>
    <w:rsid w:val="342C34CE"/>
    <w:rsid w:val="342C3E32"/>
    <w:rsid w:val="342F548A"/>
    <w:rsid w:val="34360D07"/>
    <w:rsid w:val="343867BA"/>
    <w:rsid w:val="34520356"/>
    <w:rsid w:val="34527C61"/>
    <w:rsid w:val="345430D2"/>
    <w:rsid w:val="34660FEA"/>
    <w:rsid w:val="34753C76"/>
    <w:rsid w:val="347C09B4"/>
    <w:rsid w:val="348204F6"/>
    <w:rsid w:val="34A32535"/>
    <w:rsid w:val="34A54D1F"/>
    <w:rsid w:val="34A74F24"/>
    <w:rsid w:val="34A75CA9"/>
    <w:rsid w:val="34A93B2F"/>
    <w:rsid w:val="34C80D42"/>
    <w:rsid w:val="34CB1BE2"/>
    <w:rsid w:val="34CF55D8"/>
    <w:rsid w:val="34DA4CC4"/>
    <w:rsid w:val="34DD2BAF"/>
    <w:rsid w:val="34E22C82"/>
    <w:rsid w:val="34ED554C"/>
    <w:rsid w:val="351672B5"/>
    <w:rsid w:val="353107AD"/>
    <w:rsid w:val="35393E10"/>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60457CD"/>
    <w:rsid w:val="360C48D4"/>
    <w:rsid w:val="3614666F"/>
    <w:rsid w:val="362122CF"/>
    <w:rsid w:val="36216492"/>
    <w:rsid w:val="362175E3"/>
    <w:rsid w:val="36233A56"/>
    <w:rsid w:val="362F33A6"/>
    <w:rsid w:val="363227C3"/>
    <w:rsid w:val="36330800"/>
    <w:rsid w:val="36393F82"/>
    <w:rsid w:val="363C1F19"/>
    <w:rsid w:val="364C2240"/>
    <w:rsid w:val="365518A9"/>
    <w:rsid w:val="36574062"/>
    <w:rsid w:val="365C5345"/>
    <w:rsid w:val="3665488E"/>
    <w:rsid w:val="366672BA"/>
    <w:rsid w:val="3666775F"/>
    <w:rsid w:val="366A1EAC"/>
    <w:rsid w:val="36704B65"/>
    <w:rsid w:val="367430D7"/>
    <w:rsid w:val="367D3F38"/>
    <w:rsid w:val="36824ABE"/>
    <w:rsid w:val="3692271C"/>
    <w:rsid w:val="369806BA"/>
    <w:rsid w:val="36AD5640"/>
    <w:rsid w:val="36B27F41"/>
    <w:rsid w:val="36B74128"/>
    <w:rsid w:val="36B75C3F"/>
    <w:rsid w:val="36BB0857"/>
    <w:rsid w:val="36BF22F7"/>
    <w:rsid w:val="36C6112D"/>
    <w:rsid w:val="36C67CFC"/>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AC5A8E"/>
    <w:rsid w:val="37B62A54"/>
    <w:rsid w:val="37B936C4"/>
    <w:rsid w:val="37BA6B56"/>
    <w:rsid w:val="37C9011D"/>
    <w:rsid w:val="37D2221A"/>
    <w:rsid w:val="37DF18DD"/>
    <w:rsid w:val="37EB3320"/>
    <w:rsid w:val="37F452A2"/>
    <w:rsid w:val="37F712EB"/>
    <w:rsid w:val="37FA6EB5"/>
    <w:rsid w:val="37FC639E"/>
    <w:rsid w:val="38021F61"/>
    <w:rsid w:val="38213155"/>
    <w:rsid w:val="382D6266"/>
    <w:rsid w:val="38384B17"/>
    <w:rsid w:val="383D51B0"/>
    <w:rsid w:val="38436373"/>
    <w:rsid w:val="38450810"/>
    <w:rsid w:val="38453910"/>
    <w:rsid w:val="384B2FBB"/>
    <w:rsid w:val="384D1481"/>
    <w:rsid w:val="384E5140"/>
    <w:rsid w:val="385A61A1"/>
    <w:rsid w:val="386B41E2"/>
    <w:rsid w:val="3871591E"/>
    <w:rsid w:val="388103A2"/>
    <w:rsid w:val="388162ED"/>
    <w:rsid w:val="38856EBC"/>
    <w:rsid w:val="3888376D"/>
    <w:rsid w:val="389103F7"/>
    <w:rsid w:val="389C3B40"/>
    <w:rsid w:val="38A117C3"/>
    <w:rsid w:val="38A173CA"/>
    <w:rsid w:val="38A81596"/>
    <w:rsid w:val="38AD4835"/>
    <w:rsid w:val="38BA0149"/>
    <w:rsid w:val="38C1630C"/>
    <w:rsid w:val="38CE0EEF"/>
    <w:rsid w:val="38D206AA"/>
    <w:rsid w:val="38D549D7"/>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611B00"/>
    <w:rsid w:val="39631067"/>
    <w:rsid w:val="39642E83"/>
    <w:rsid w:val="396A2289"/>
    <w:rsid w:val="396C772F"/>
    <w:rsid w:val="397823CD"/>
    <w:rsid w:val="397C1DA9"/>
    <w:rsid w:val="397C47E7"/>
    <w:rsid w:val="39825F39"/>
    <w:rsid w:val="39826044"/>
    <w:rsid w:val="398C15D5"/>
    <w:rsid w:val="399A42B3"/>
    <w:rsid w:val="399F6BF2"/>
    <w:rsid w:val="39AC7FB9"/>
    <w:rsid w:val="39C13BDE"/>
    <w:rsid w:val="39CD394E"/>
    <w:rsid w:val="39D7602C"/>
    <w:rsid w:val="39E46CE2"/>
    <w:rsid w:val="39E6596C"/>
    <w:rsid w:val="39F55613"/>
    <w:rsid w:val="39FA4F95"/>
    <w:rsid w:val="3A0C1ED6"/>
    <w:rsid w:val="3A1A3CE0"/>
    <w:rsid w:val="3A320C69"/>
    <w:rsid w:val="3A381454"/>
    <w:rsid w:val="3A38627D"/>
    <w:rsid w:val="3A3A7804"/>
    <w:rsid w:val="3A3F482E"/>
    <w:rsid w:val="3A456D61"/>
    <w:rsid w:val="3A4F6FF7"/>
    <w:rsid w:val="3A517B3B"/>
    <w:rsid w:val="3A5D40AF"/>
    <w:rsid w:val="3A6245ED"/>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04631F"/>
    <w:rsid w:val="3B135593"/>
    <w:rsid w:val="3B1D5FF2"/>
    <w:rsid w:val="3B247E7A"/>
    <w:rsid w:val="3B2D077B"/>
    <w:rsid w:val="3B313B50"/>
    <w:rsid w:val="3B3301EA"/>
    <w:rsid w:val="3B371FAF"/>
    <w:rsid w:val="3B3F68A0"/>
    <w:rsid w:val="3B406223"/>
    <w:rsid w:val="3B411C83"/>
    <w:rsid w:val="3B437575"/>
    <w:rsid w:val="3B445A14"/>
    <w:rsid w:val="3B510099"/>
    <w:rsid w:val="3B5A3C2B"/>
    <w:rsid w:val="3B5B35CC"/>
    <w:rsid w:val="3B6A7FA4"/>
    <w:rsid w:val="3B7D1DE3"/>
    <w:rsid w:val="3B8758EE"/>
    <w:rsid w:val="3B8D2F36"/>
    <w:rsid w:val="3BAB563B"/>
    <w:rsid w:val="3BB53769"/>
    <w:rsid w:val="3BB902BF"/>
    <w:rsid w:val="3BB93320"/>
    <w:rsid w:val="3BBB0270"/>
    <w:rsid w:val="3BBE57B7"/>
    <w:rsid w:val="3BBF1D20"/>
    <w:rsid w:val="3BCA0EF8"/>
    <w:rsid w:val="3BCC37BF"/>
    <w:rsid w:val="3BD34132"/>
    <w:rsid w:val="3BE455A3"/>
    <w:rsid w:val="3BEB1216"/>
    <w:rsid w:val="3BEC3365"/>
    <w:rsid w:val="3BF14BAD"/>
    <w:rsid w:val="3BFB4FD3"/>
    <w:rsid w:val="3BFE22E7"/>
    <w:rsid w:val="3C0278F1"/>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F3656"/>
    <w:rsid w:val="3CB9591F"/>
    <w:rsid w:val="3CCA684F"/>
    <w:rsid w:val="3CD87CE5"/>
    <w:rsid w:val="3CDB68D4"/>
    <w:rsid w:val="3CF810D4"/>
    <w:rsid w:val="3CF878B5"/>
    <w:rsid w:val="3CFA31FE"/>
    <w:rsid w:val="3D1665CB"/>
    <w:rsid w:val="3D1D0816"/>
    <w:rsid w:val="3D1F05EA"/>
    <w:rsid w:val="3D263D34"/>
    <w:rsid w:val="3D2820F7"/>
    <w:rsid w:val="3D292B9B"/>
    <w:rsid w:val="3D362589"/>
    <w:rsid w:val="3D3B7E48"/>
    <w:rsid w:val="3D4A4187"/>
    <w:rsid w:val="3D5331A4"/>
    <w:rsid w:val="3D6515EC"/>
    <w:rsid w:val="3D757BFC"/>
    <w:rsid w:val="3D78217F"/>
    <w:rsid w:val="3D7B110C"/>
    <w:rsid w:val="3D7B2B7D"/>
    <w:rsid w:val="3D7F5027"/>
    <w:rsid w:val="3D822306"/>
    <w:rsid w:val="3D846601"/>
    <w:rsid w:val="3D8D4C5B"/>
    <w:rsid w:val="3D990950"/>
    <w:rsid w:val="3D9B563C"/>
    <w:rsid w:val="3D9F2F43"/>
    <w:rsid w:val="3DA1484A"/>
    <w:rsid w:val="3DAC7DC3"/>
    <w:rsid w:val="3DB83A86"/>
    <w:rsid w:val="3DD318B1"/>
    <w:rsid w:val="3DD76B16"/>
    <w:rsid w:val="3DE2350A"/>
    <w:rsid w:val="3DEC237A"/>
    <w:rsid w:val="3DEF3E32"/>
    <w:rsid w:val="3DF450ED"/>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61A44"/>
    <w:rsid w:val="3E8C5B70"/>
    <w:rsid w:val="3E8E4694"/>
    <w:rsid w:val="3EAC7552"/>
    <w:rsid w:val="3EBB30DC"/>
    <w:rsid w:val="3EBC0187"/>
    <w:rsid w:val="3EC2705F"/>
    <w:rsid w:val="3EC95C36"/>
    <w:rsid w:val="3ED139A0"/>
    <w:rsid w:val="3ED81B0F"/>
    <w:rsid w:val="3ED82985"/>
    <w:rsid w:val="3EE11DB9"/>
    <w:rsid w:val="3EED4169"/>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73683D"/>
    <w:rsid w:val="3F8F2470"/>
    <w:rsid w:val="3F924486"/>
    <w:rsid w:val="3F932306"/>
    <w:rsid w:val="3F9D4869"/>
    <w:rsid w:val="3F9D5595"/>
    <w:rsid w:val="3FA776F6"/>
    <w:rsid w:val="3FB0303B"/>
    <w:rsid w:val="3FCC4417"/>
    <w:rsid w:val="3FCC5A43"/>
    <w:rsid w:val="3FDE71F7"/>
    <w:rsid w:val="3FE10966"/>
    <w:rsid w:val="3FE46DA9"/>
    <w:rsid w:val="3FE5707D"/>
    <w:rsid w:val="3FEA326B"/>
    <w:rsid w:val="400B6168"/>
    <w:rsid w:val="400C2D52"/>
    <w:rsid w:val="400C785D"/>
    <w:rsid w:val="400E69A6"/>
    <w:rsid w:val="40216DA7"/>
    <w:rsid w:val="40237876"/>
    <w:rsid w:val="40306192"/>
    <w:rsid w:val="403071C4"/>
    <w:rsid w:val="4033616A"/>
    <w:rsid w:val="40336E85"/>
    <w:rsid w:val="40386E22"/>
    <w:rsid w:val="403F66AE"/>
    <w:rsid w:val="40616B63"/>
    <w:rsid w:val="40795CC3"/>
    <w:rsid w:val="409D37D8"/>
    <w:rsid w:val="40A3094D"/>
    <w:rsid w:val="40A416F9"/>
    <w:rsid w:val="40B871C9"/>
    <w:rsid w:val="40C61BF7"/>
    <w:rsid w:val="40CE4174"/>
    <w:rsid w:val="40CF1488"/>
    <w:rsid w:val="40D20597"/>
    <w:rsid w:val="40D637A8"/>
    <w:rsid w:val="40DC577F"/>
    <w:rsid w:val="40DF4DD7"/>
    <w:rsid w:val="40E55521"/>
    <w:rsid w:val="40E639A3"/>
    <w:rsid w:val="40FA1D61"/>
    <w:rsid w:val="41113B6A"/>
    <w:rsid w:val="411A46AB"/>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B7FE7"/>
    <w:rsid w:val="42347B8C"/>
    <w:rsid w:val="423F58B0"/>
    <w:rsid w:val="424A769B"/>
    <w:rsid w:val="425B4E45"/>
    <w:rsid w:val="426364A4"/>
    <w:rsid w:val="426659CA"/>
    <w:rsid w:val="427D3909"/>
    <w:rsid w:val="42833005"/>
    <w:rsid w:val="428938C8"/>
    <w:rsid w:val="428C0F63"/>
    <w:rsid w:val="42955251"/>
    <w:rsid w:val="42961E1B"/>
    <w:rsid w:val="42AE02FA"/>
    <w:rsid w:val="42B068BB"/>
    <w:rsid w:val="42B468CD"/>
    <w:rsid w:val="42B9429B"/>
    <w:rsid w:val="42B9482F"/>
    <w:rsid w:val="42C52415"/>
    <w:rsid w:val="42C57FE3"/>
    <w:rsid w:val="42CB62AC"/>
    <w:rsid w:val="42D1376A"/>
    <w:rsid w:val="42D62B95"/>
    <w:rsid w:val="42E065DF"/>
    <w:rsid w:val="42E226F1"/>
    <w:rsid w:val="42E51AAB"/>
    <w:rsid w:val="43076250"/>
    <w:rsid w:val="43151F82"/>
    <w:rsid w:val="431A2D7C"/>
    <w:rsid w:val="431C3A29"/>
    <w:rsid w:val="431E5447"/>
    <w:rsid w:val="432670F4"/>
    <w:rsid w:val="432B16EA"/>
    <w:rsid w:val="432B599B"/>
    <w:rsid w:val="43320FE8"/>
    <w:rsid w:val="4339439F"/>
    <w:rsid w:val="43412E19"/>
    <w:rsid w:val="43512293"/>
    <w:rsid w:val="43610390"/>
    <w:rsid w:val="43655414"/>
    <w:rsid w:val="43675C3B"/>
    <w:rsid w:val="436C45D3"/>
    <w:rsid w:val="437E65E4"/>
    <w:rsid w:val="43847800"/>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EB7EAE"/>
    <w:rsid w:val="43F17B3E"/>
    <w:rsid w:val="43F52B50"/>
    <w:rsid w:val="440241BD"/>
    <w:rsid w:val="44114BC2"/>
    <w:rsid w:val="444353A3"/>
    <w:rsid w:val="44455FAC"/>
    <w:rsid w:val="444855E4"/>
    <w:rsid w:val="4448573B"/>
    <w:rsid w:val="445B0912"/>
    <w:rsid w:val="44682BB3"/>
    <w:rsid w:val="446919D6"/>
    <w:rsid w:val="446B24E6"/>
    <w:rsid w:val="44751DC9"/>
    <w:rsid w:val="44764BC2"/>
    <w:rsid w:val="447B36F1"/>
    <w:rsid w:val="448306EE"/>
    <w:rsid w:val="44857EF6"/>
    <w:rsid w:val="4491669D"/>
    <w:rsid w:val="449562D2"/>
    <w:rsid w:val="449572B7"/>
    <w:rsid w:val="44980F16"/>
    <w:rsid w:val="44A941C7"/>
    <w:rsid w:val="44AA6EDB"/>
    <w:rsid w:val="44BA3AE9"/>
    <w:rsid w:val="44BB5DB6"/>
    <w:rsid w:val="44C0623F"/>
    <w:rsid w:val="44C941DA"/>
    <w:rsid w:val="44CF4A8C"/>
    <w:rsid w:val="44D63BE3"/>
    <w:rsid w:val="44D95DD7"/>
    <w:rsid w:val="44DA0635"/>
    <w:rsid w:val="44DA2AF6"/>
    <w:rsid w:val="44E55506"/>
    <w:rsid w:val="44ED0BB2"/>
    <w:rsid w:val="44ED40BA"/>
    <w:rsid w:val="44F162A7"/>
    <w:rsid w:val="45013292"/>
    <w:rsid w:val="45021D0A"/>
    <w:rsid w:val="450672C8"/>
    <w:rsid w:val="450A34B2"/>
    <w:rsid w:val="450B6097"/>
    <w:rsid w:val="450D54C5"/>
    <w:rsid w:val="45157186"/>
    <w:rsid w:val="451F6997"/>
    <w:rsid w:val="451F7229"/>
    <w:rsid w:val="45275D3C"/>
    <w:rsid w:val="45283D63"/>
    <w:rsid w:val="452A6BE8"/>
    <w:rsid w:val="452D6D10"/>
    <w:rsid w:val="453C2C52"/>
    <w:rsid w:val="453F6356"/>
    <w:rsid w:val="4546246E"/>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EC565F"/>
    <w:rsid w:val="45F3495A"/>
    <w:rsid w:val="45FB007C"/>
    <w:rsid w:val="460B0348"/>
    <w:rsid w:val="46125C4E"/>
    <w:rsid w:val="46137091"/>
    <w:rsid w:val="4616701D"/>
    <w:rsid w:val="46186D0F"/>
    <w:rsid w:val="4633441C"/>
    <w:rsid w:val="46363C84"/>
    <w:rsid w:val="463C64B5"/>
    <w:rsid w:val="463D127A"/>
    <w:rsid w:val="464920FF"/>
    <w:rsid w:val="46507F2F"/>
    <w:rsid w:val="465416E5"/>
    <w:rsid w:val="46581223"/>
    <w:rsid w:val="46591436"/>
    <w:rsid w:val="4661363F"/>
    <w:rsid w:val="46622683"/>
    <w:rsid w:val="466E64B7"/>
    <w:rsid w:val="46761D02"/>
    <w:rsid w:val="468329F7"/>
    <w:rsid w:val="46842753"/>
    <w:rsid w:val="469C7DFF"/>
    <w:rsid w:val="46A55E5B"/>
    <w:rsid w:val="46AC1BCF"/>
    <w:rsid w:val="46B326A4"/>
    <w:rsid w:val="46B76849"/>
    <w:rsid w:val="46B964B3"/>
    <w:rsid w:val="46BE7FB3"/>
    <w:rsid w:val="46C1358E"/>
    <w:rsid w:val="46C2390C"/>
    <w:rsid w:val="46C67FE5"/>
    <w:rsid w:val="46CF4C0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397427"/>
    <w:rsid w:val="47410E2B"/>
    <w:rsid w:val="4743147C"/>
    <w:rsid w:val="47461CED"/>
    <w:rsid w:val="474F0CC2"/>
    <w:rsid w:val="4750010D"/>
    <w:rsid w:val="47521896"/>
    <w:rsid w:val="4753289C"/>
    <w:rsid w:val="475E7A1B"/>
    <w:rsid w:val="47663784"/>
    <w:rsid w:val="476F7F1E"/>
    <w:rsid w:val="47761038"/>
    <w:rsid w:val="4782366D"/>
    <w:rsid w:val="478477BF"/>
    <w:rsid w:val="47887982"/>
    <w:rsid w:val="47A02DCD"/>
    <w:rsid w:val="47A14D10"/>
    <w:rsid w:val="47AC37A8"/>
    <w:rsid w:val="47B41473"/>
    <w:rsid w:val="47BA7A7F"/>
    <w:rsid w:val="47BC192F"/>
    <w:rsid w:val="47C36D5A"/>
    <w:rsid w:val="47D146EE"/>
    <w:rsid w:val="47D80C92"/>
    <w:rsid w:val="47DD65EF"/>
    <w:rsid w:val="47E224DA"/>
    <w:rsid w:val="47E63EB0"/>
    <w:rsid w:val="47FB0A7D"/>
    <w:rsid w:val="47FB271A"/>
    <w:rsid w:val="47FD33E9"/>
    <w:rsid w:val="48082361"/>
    <w:rsid w:val="48103631"/>
    <w:rsid w:val="48116A3B"/>
    <w:rsid w:val="481A4F49"/>
    <w:rsid w:val="48207BF3"/>
    <w:rsid w:val="4828058E"/>
    <w:rsid w:val="4835467E"/>
    <w:rsid w:val="484418D4"/>
    <w:rsid w:val="48504941"/>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1552"/>
    <w:rsid w:val="48D8366D"/>
    <w:rsid w:val="48DB6CFF"/>
    <w:rsid w:val="48EA2B4C"/>
    <w:rsid w:val="48FB462C"/>
    <w:rsid w:val="48FD7C3D"/>
    <w:rsid w:val="49041D35"/>
    <w:rsid w:val="49042EB0"/>
    <w:rsid w:val="490C48C8"/>
    <w:rsid w:val="49182F5B"/>
    <w:rsid w:val="492D1768"/>
    <w:rsid w:val="49382013"/>
    <w:rsid w:val="4948094D"/>
    <w:rsid w:val="494B7C8C"/>
    <w:rsid w:val="49534A38"/>
    <w:rsid w:val="49577F5B"/>
    <w:rsid w:val="49590A49"/>
    <w:rsid w:val="495D420F"/>
    <w:rsid w:val="497271BB"/>
    <w:rsid w:val="497C1D1C"/>
    <w:rsid w:val="49802100"/>
    <w:rsid w:val="49831F08"/>
    <w:rsid w:val="4994097A"/>
    <w:rsid w:val="49993BA8"/>
    <w:rsid w:val="49A177C4"/>
    <w:rsid w:val="49CF34DB"/>
    <w:rsid w:val="49EC5752"/>
    <w:rsid w:val="49F80AFA"/>
    <w:rsid w:val="49FA1131"/>
    <w:rsid w:val="4A117D4D"/>
    <w:rsid w:val="4A1A0CF9"/>
    <w:rsid w:val="4A1C0557"/>
    <w:rsid w:val="4A2B230E"/>
    <w:rsid w:val="4A43365A"/>
    <w:rsid w:val="4A466DFD"/>
    <w:rsid w:val="4A576003"/>
    <w:rsid w:val="4A583EFA"/>
    <w:rsid w:val="4A5B688E"/>
    <w:rsid w:val="4A6041B4"/>
    <w:rsid w:val="4A66406B"/>
    <w:rsid w:val="4A78542D"/>
    <w:rsid w:val="4A8A0E3B"/>
    <w:rsid w:val="4AAE6CB9"/>
    <w:rsid w:val="4AB93932"/>
    <w:rsid w:val="4ABC65B3"/>
    <w:rsid w:val="4ABD14F2"/>
    <w:rsid w:val="4AC420FF"/>
    <w:rsid w:val="4ACC799C"/>
    <w:rsid w:val="4ACF43DD"/>
    <w:rsid w:val="4AD53503"/>
    <w:rsid w:val="4ADA17D2"/>
    <w:rsid w:val="4ADA5876"/>
    <w:rsid w:val="4ADD31A5"/>
    <w:rsid w:val="4ADE4EF5"/>
    <w:rsid w:val="4AFE5FCD"/>
    <w:rsid w:val="4B012EDA"/>
    <w:rsid w:val="4B047519"/>
    <w:rsid w:val="4B1053C2"/>
    <w:rsid w:val="4B1103A6"/>
    <w:rsid w:val="4B170E51"/>
    <w:rsid w:val="4B406FEC"/>
    <w:rsid w:val="4B44027A"/>
    <w:rsid w:val="4B535B0F"/>
    <w:rsid w:val="4B5D208D"/>
    <w:rsid w:val="4B622E6E"/>
    <w:rsid w:val="4B682317"/>
    <w:rsid w:val="4B770E66"/>
    <w:rsid w:val="4B8A6B9F"/>
    <w:rsid w:val="4B8B7329"/>
    <w:rsid w:val="4B99555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1F67B3"/>
    <w:rsid w:val="4C321FEE"/>
    <w:rsid w:val="4C4A4648"/>
    <w:rsid w:val="4C531AD9"/>
    <w:rsid w:val="4C5A5942"/>
    <w:rsid w:val="4C6657AD"/>
    <w:rsid w:val="4C6913E5"/>
    <w:rsid w:val="4C6F4A1A"/>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D05508A"/>
    <w:rsid w:val="4D0B7AE4"/>
    <w:rsid w:val="4D0F43B2"/>
    <w:rsid w:val="4D192644"/>
    <w:rsid w:val="4D254D1C"/>
    <w:rsid w:val="4D2D33D9"/>
    <w:rsid w:val="4D2D6815"/>
    <w:rsid w:val="4D2E0D3C"/>
    <w:rsid w:val="4D44167E"/>
    <w:rsid w:val="4D4C1706"/>
    <w:rsid w:val="4D4D3325"/>
    <w:rsid w:val="4D507170"/>
    <w:rsid w:val="4D546472"/>
    <w:rsid w:val="4D566FBA"/>
    <w:rsid w:val="4D5C6A6D"/>
    <w:rsid w:val="4D61137D"/>
    <w:rsid w:val="4D6122A3"/>
    <w:rsid w:val="4D635697"/>
    <w:rsid w:val="4D7866A7"/>
    <w:rsid w:val="4D7F1845"/>
    <w:rsid w:val="4D8A67DA"/>
    <w:rsid w:val="4D8B7947"/>
    <w:rsid w:val="4D943AE7"/>
    <w:rsid w:val="4D9A7380"/>
    <w:rsid w:val="4D9C3A4E"/>
    <w:rsid w:val="4DA4710E"/>
    <w:rsid w:val="4DB6032F"/>
    <w:rsid w:val="4DB770C7"/>
    <w:rsid w:val="4DB85906"/>
    <w:rsid w:val="4DBD5E56"/>
    <w:rsid w:val="4DC3090F"/>
    <w:rsid w:val="4DCA7CC0"/>
    <w:rsid w:val="4DDA0944"/>
    <w:rsid w:val="4DDB5855"/>
    <w:rsid w:val="4DF26512"/>
    <w:rsid w:val="4DFD50BE"/>
    <w:rsid w:val="4DFD5A6F"/>
    <w:rsid w:val="4E083D60"/>
    <w:rsid w:val="4E0950FB"/>
    <w:rsid w:val="4E0A5BBD"/>
    <w:rsid w:val="4E23125E"/>
    <w:rsid w:val="4E2E772A"/>
    <w:rsid w:val="4E38395C"/>
    <w:rsid w:val="4E434E98"/>
    <w:rsid w:val="4E4E075D"/>
    <w:rsid w:val="4E573192"/>
    <w:rsid w:val="4E5C0173"/>
    <w:rsid w:val="4E673E7B"/>
    <w:rsid w:val="4E676383"/>
    <w:rsid w:val="4E694667"/>
    <w:rsid w:val="4E6A1943"/>
    <w:rsid w:val="4E80340E"/>
    <w:rsid w:val="4E80585F"/>
    <w:rsid w:val="4E835393"/>
    <w:rsid w:val="4E9D327D"/>
    <w:rsid w:val="4EA320D1"/>
    <w:rsid w:val="4EA63946"/>
    <w:rsid w:val="4EA65EF4"/>
    <w:rsid w:val="4EAE5255"/>
    <w:rsid w:val="4EB87E63"/>
    <w:rsid w:val="4EBC0AA3"/>
    <w:rsid w:val="4EC31C07"/>
    <w:rsid w:val="4ECE580B"/>
    <w:rsid w:val="4EDA6740"/>
    <w:rsid w:val="4EE15E98"/>
    <w:rsid w:val="4EE20FD6"/>
    <w:rsid w:val="4EE34D4F"/>
    <w:rsid w:val="4EF26455"/>
    <w:rsid w:val="4EFD7217"/>
    <w:rsid w:val="4F02252E"/>
    <w:rsid w:val="4F1626B0"/>
    <w:rsid w:val="4F1635AB"/>
    <w:rsid w:val="4F193C2E"/>
    <w:rsid w:val="4F1E2E86"/>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E4C9E"/>
    <w:rsid w:val="4FDE790A"/>
    <w:rsid w:val="4FDF75CA"/>
    <w:rsid w:val="4FE02AE7"/>
    <w:rsid w:val="4FE65906"/>
    <w:rsid w:val="5002580D"/>
    <w:rsid w:val="50051910"/>
    <w:rsid w:val="500F0075"/>
    <w:rsid w:val="5015696D"/>
    <w:rsid w:val="501D74BB"/>
    <w:rsid w:val="50214EDB"/>
    <w:rsid w:val="503D0C67"/>
    <w:rsid w:val="505D0E93"/>
    <w:rsid w:val="505E33D2"/>
    <w:rsid w:val="506864A0"/>
    <w:rsid w:val="506A2CAA"/>
    <w:rsid w:val="50732542"/>
    <w:rsid w:val="50741EE8"/>
    <w:rsid w:val="507F5036"/>
    <w:rsid w:val="5082218B"/>
    <w:rsid w:val="508473EB"/>
    <w:rsid w:val="50920323"/>
    <w:rsid w:val="50940B12"/>
    <w:rsid w:val="50A0041B"/>
    <w:rsid w:val="50A67EB6"/>
    <w:rsid w:val="50B1339B"/>
    <w:rsid w:val="50B70C6B"/>
    <w:rsid w:val="50BA1A6F"/>
    <w:rsid w:val="50C12149"/>
    <w:rsid w:val="50C537C4"/>
    <w:rsid w:val="50CA6EF3"/>
    <w:rsid w:val="50CC3171"/>
    <w:rsid w:val="50CE7F99"/>
    <w:rsid w:val="50D224FE"/>
    <w:rsid w:val="50D779AB"/>
    <w:rsid w:val="50DD0E91"/>
    <w:rsid w:val="50E35BE8"/>
    <w:rsid w:val="50E90AEE"/>
    <w:rsid w:val="5106299D"/>
    <w:rsid w:val="51075B17"/>
    <w:rsid w:val="5111310C"/>
    <w:rsid w:val="51143632"/>
    <w:rsid w:val="511545C1"/>
    <w:rsid w:val="511B61E3"/>
    <w:rsid w:val="511F667B"/>
    <w:rsid w:val="512310E9"/>
    <w:rsid w:val="512D47FF"/>
    <w:rsid w:val="513C5240"/>
    <w:rsid w:val="514149D4"/>
    <w:rsid w:val="514E11E7"/>
    <w:rsid w:val="51531D4F"/>
    <w:rsid w:val="516F1636"/>
    <w:rsid w:val="51732223"/>
    <w:rsid w:val="51737331"/>
    <w:rsid w:val="51776538"/>
    <w:rsid w:val="517F3D75"/>
    <w:rsid w:val="518749EC"/>
    <w:rsid w:val="51986034"/>
    <w:rsid w:val="519A644E"/>
    <w:rsid w:val="51A23103"/>
    <w:rsid w:val="51B425EC"/>
    <w:rsid w:val="51B756B8"/>
    <w:rsid w:val="51B948A5"/>
    <w:rsid w:val="51BC3A00"/>
    <w:rsid w:val="51C12CF0"/>
    <w:rsid w:val="51C60563"/>
    <w:rsid w:val="51D532E2"/>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538D"/>
    <w:rsid w:val="525C6928"/>
    <w:rsid w:val="52672BEC"/>
    <w:rsid w:val="52810C92"/>
    <w:rsid w:val="52921FEB"/>
    <w:rsid w:val="529F48AC"/>
    <w:rsid w:val="52B32703"/>
    <w:rsid w:val="52BC09C1"/>
    <w:rsid w:val="52C469ED"/>
    <w:rsid w:val="52C56672"/>
    <w:rsid w:val="52DA7558"/>
    <w:rsid w:val="52E71149"/>
    <w:rsid w:val="52EB488B"/>
    <w:rsid w:val="52ED01C1"/>
    <w:rsid w:val="52F83F37"/>
    <w:rsid w:val="52FB7B68"/>
    <w:rsid w:val="52FF6846"/>
    <w:rsid w:val="530069A5"/>
    <w:rsid w:val="53043A7C"/>
    <w:rsid w:val="53096E29"/>
    <w:rsid w:val="530A5CF7"/>
    <w:rsid w:val="53153974"/>
    <w:rsid w:val="531B594C"/>
    <w:rsid w:val="531C3ECA"/>
    <w:rsid w:val="534145CC"/>
    <w:rsid w:val="5353278C"/>
    <w:rsid w:val="536656A7"/>
    <w:rsid w:val="5368637B"/>
    <w:rsid w:val="53757A4A"/>
    <w:rsid w:val="53825209"/>
    <w:rsid w:val="538C7108"/>
    <w:rsid w:val="539A0745"/>
    <w:rsid w:val="539B1AF5"/>
    <w:rsid w:val="539D6209"/>
    <w:rsid w:val="53AA5FC2"/>
    <w:rsid w:val="53BE786F"/>
    <w:rsid w:val="53C74983"/>
    <w:rsid w:val="53D31177"/>
    <w:rsid w:val="53D4470B"/>
    <w:rsid w:val="53DC6D63"/>
    <w:rsid w:val="53EF0C58"/>
    <w:rsid w:val="53EF5526"/>
    <w:rsid w:val="53F442E3"/>
    <w:rsid w:val="540A698F"/>
    <w:rsid w:val="540E7262"/>
    <w:rsid w:val="54110A2C"/>
    <w:rsid w:val="541240F2"/>
    <w:rsid w:val="543B3618"/>
    <w:rsid w:val="54506C3F"/>
    <w:rsid w:val="5461247C"/>
    <w:rsid w:val="546257F1"/>
    <w:rsid w:val="54676039"/>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86262"/>
    <w:rsid w:val="54F86D49"/>
    <w:rsid w:val="54F937EE"/>
    <w:rsid w:val="55012903"/>
    <w:rsid w:val="5503784D"/>
    <w:rsid w:val="550B255E"/>
    <w:rsid w:val="55117A9F"/>
    <w:rsid w:val="551F2F1A"/>
    <w:rsid w:val="55217BEF"/>
    <w:rsid w:val="552307A7"/>
    <w:rsid w:val="55301AEB"/>
    <w:rsid w:val="55394BFB"/>
    <w:rsid w:val="55405E31"/>
    <w:rsid w:val="55464886"/>
    <w:rsid w:val="555005FF"/>
    <w:rsid w:val="5553461C"/>
    <w:rsid w:val="555903DC"/>
    <w:rsid w:val="555A1576"/>
    <w:rsid w:val="555A61FA"/>
    <w:rsid w:val="555B790A"/>
    <w:rsid w:val="555E07E4"/>
    <w:rsid w:val="5567737F"/>
    <w:rsid w:val="556869CA"/>
    <w:rsid w:val="55737B32"/>
    <w:rsid w:val="55744BF2"/>
    <w:rsid w:val="557F757A"/>
    <w:rsid w:val="55837950"/>
    <w:rsid w:val="558576DE"/>
    <w:rsid w:val="5589224B"/>
    <w:rsid w:val="55936FAF"/>
    <w:rsid w:val="5594058C"/>
    <w:rsid w:val="55996C79"/>
    <w:rsid w:val="55B13E3B"/>
    <w:rsid w:val="55B52431"/>
    <w:rsid w:val="55C02117"/>
    <w:rsid w:val="55C259E8"/>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07781F"/>
    <w:rsid w:val="571D6447"/>
    <w:rsid w:val="57280976"/>
    <w:rsid w:val="57354289"/>
    <w:rsid w:val="573D51B6"/>
    <w:rsid w:val="573F2B69"/>
    <w:rsid w:val="573F3C97"/>
    <w:rsid w:val="57450C65"/>
    <w:rsid w:val="574552E5"/>
    <w:rsid w:val="574719D8"/>
    <w:rsid w:val="575A35E1"/>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7FD28CE"/>
    <w:rsid w:val="580223A6"/>
    <w:rsid w:val="581113AC"/>
    <w:rsid w:val="5815798C"/>
    <w:rsid w:val="58194C0A"/>
    <w:rsid w:val="5823457C"/>
    <w:rsid w:val="5825789F"/>
    <w:rsid w:val="58292676"/>
    <w:rsid w:val="582F6754"/>
    <w:rsid w:val="582F6A56"/>
    <w:rsid w:val="5832401F"/>
    <w:rsid w:val="5834125E"/>
    <w:rsid w:val="583824A8"/>
    <w:rsid w:val="583B1511"/>
    <w:rsid w:val="584D64D9"/>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11503F"/>
    <w:rsid w:val="592767A4"/>
    <w:rsid w:val="593C14F7"/>
    <w:rsid w:val="593D7EB7"/>
    <w:rsid w:val="59420742"/>
    <w:rsid w:val="59493AAF"/>
    <w:rsid w:val="59567C0D"/>
    <w:rsid w:val="5960630C"/>
    <w:rsid w:val="59636E6A"/>
    <w:rsid w:val="59657E55"/>
    <w:rsid w:val="59693F3F"/>
    <w:rsid w:val="59805F88"/>
    <w:rsid w:val="59854E4C"/>
    <w:rsid w:val="598B23FC"/>
    <w:rsid w:val="598D1777"/>
    <w:rsid w:val="59944691"/>
    <w:rsid w:val="599F6880"/>
    <w:rsid w:val="59A74A0C"/>
    <w:rsid w:val="59AB159E"/>
    <w:rsid w:val="59C32D24"/>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42A8E"/>
    <w:rsid w:val="5A2536DB"/>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C0875"/>
    <w:rsid w:val="5ACC0AA7"/>
    <w:rsid w:val="5ACE60D0"/>
    <w:rsid w:val="5AEA57A3"/>
    <w:rsid w:val="5AF33833"/>
    <w:rsid w:val="5AF5430C"/>
    <w:rsid w:val="5B0301C6"/>
    <w:rsid w:val="5B05465E"/>
    <w:rsid w:val="5B0D54D5"/>
    <w:rsid w:val="5B0F6685"/>
    <w:rsid w:val="5B3031B6"/>
    <w:rsid w:val="5B320092"/>
    <w:rsid w:val="5B342D59"/>
    <w:rsid w:val="5B3A5809"/>
    <w:rsid w:val="5B4E6F1F"/>
    <w:rsid w:val="5B5D5BD2"/>
    <w:rsid w:val="5B680989"/>
    <w:rsid w:val="5B6A4E9F"/>
    <w:rsid w:val="5B773CD4"/>
    <w:rsid w:val="5B7F2155"/>
    <w:rsid w:val="5B974D22"/>
    <w:rsid w:val="5BA14862"/>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6048B1"/>
    <w:rsid w:val="5D68099F"/>
    <w:rsid w:val="5D7277E1"/>
    <w:rsid w:val="5D89239D"/>
    <w:rsid w:val="5D8B7642"/>
    <w:rsid w:val="5D9364D0"/>
    <w:rsid w:val="5D941023"/>
    <w:rsid w:val="5D9446FC"/>
    <w:rsid w:val="5D945809"/>
    <w:rsid w:val="5DA24A75"/>
    <w:rsid w:val="5DA37A28"/>
    <w:rsid w:val="5DA43A36"/>
    <w:rsid w:val="5DBB1833"/>
    <w:rsid w:val="5DBD4FB2"/>
    <w:rsid w:val="5DC10AA6"/>
    <w:rsid w:val="5DCB38D8"/>
    <w:rsid w:val="5DCC0302"/>
    <w:rsid w:val="5DCC1273"/>
    <w:rsid w:val="5DD720A6"/>
    <w:rsid w:val="5DDC3084"/>
    <w:rsid w:val="5DDD06E5"/>
    <w:rsid w:val="5DE572D8"/>
    <w:rsid w:val="5DE919EB"/>
    <w:rsid w:val="5DED35AF"/>
    <w:rsid w:val="5DF47982"/>
    <w:rsid w:val="5E0607E2"/>
    <w:rsid w:val="5E164C8C"/>
    <w:rsid w:val="5E172580"/>
    <w:rsid w:val="5E1C531C"/>
    <w:rsid w:val="5E1D027C"/>
    <w:rsid w:val="5E233E8C"/>
    <w:rsid w:val="5E2E6C70"/>
    <w:rsid w:val="5E36149E"/>
    <w:rsid w:val="5E363C81"/>
    <w:rsid w:val="5E377C81"/>
    <w:rsid w:val="5E4359DA"/>
    <w:rsid w:val="5E4F5801"/>
    <w:rsid w:val="5E585E7C"/>
    <w:rsid w:val="5E6030AB"/>
    <w:rsid w:val="5E615A04"/>
    <w:rsid w:val="5E7E33CC"/>
    <w:rsid w:val="5E832A97"/>
    <w:rsid w:val="5E9F226B"/>
    <w:rsid w:val="5EA71D43"/>
    <w:rsid w:val="5EB2173A"/>
    <w:rsid w:val="5EC26556"/>
    <w:rsid w:val="5EC964B1"/>
    <w:rsid w:val="5ECF5F81"/>
    <w:rsid w:val="5ED23A82"/>
    <w:rsid w:val="5EDC3E75"/>
    <w:rsid w:val="5EE33D30"/>
    <w:rsid w:val="5EE66676"/>
    <w:rsid w:val="5EF04A03"/>
    <w:rsid w:val="5EF27829"/>
    <w:rsid w:val="5EFD61E5"/>
    <w:rsid w:val="5F000C2F"/>
    <w:rsid w:val="5F046F9E"/>
    <w:rsid w:val="5F1A6363"/>
    <w:rsid w:val="5F1D49EB"/>
    <w:rsid w:val="5F1F0600"/>
    <w:rsid w:val="5F25246D"/>
    <w:rsid w:val="5F2705A3"/>
    <w:rsid w:val="5F2C092C"/>
    <w:rsid w:val="5F2E3297"/>
    <w:rsid w:val="5F332996"/>
    <w:rsid w:val="5F334459"/>
    <w:rsid w:val="5F354A9B"/>
    <w:rsid w:val="5F376BC0"/>
    <w:rsid w:val="5F391735"/>
    <w:rsid w:val="5F3A1804"/>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C97CC1"/>
    <w:rsid w:val="5FD75773"/>
    <w:rsid w:val="5FE0727E"/>
    <w:rsid w:val="5FE259DC"/>
    <w:rsid w:val="5FE31074"/>
    <w:rsid w:val="5FEE71FF"/>
    <w:rsid w:val="60014636"/>
    <w:rsid w:val="6008237F"/>
    <w:rsid w:val="6018300D"/>
    <w:rsid w:val="601E6A9C"/>
    <w:rsid w:val="60330A86"/>
    <w:rsid w:val="60421020"/>
    <w:rsid w:val="60492A6C"/>
    <w:rsid w:val="604C07B5"/>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F75628"/>
    <w:rsid w:val="60F77754"/>
    <w:rsid w:val="61041FB9"/>
    <w:rsid w:val="61056BEF"/>
    <w:rsid w:val="610B1677"/>
    <w:rsid w:val="610D416E"/>
    <w:rsid w:val="612000C9"/>
    <w:rsid w:val="61235D06"/>
    <w:rsid w:val="614101F2"/>
    <w:rsid w:val="61475FE0"/>
    <w:rsid w:val="614F312B"/>
    <w:rsid w:val="61541680"/>
    <w:rsid w:val="61645DD7"/>
    <w:rsid w:val="616D378A"/>
    <w:rsid w:val="61746F59"/>
    <w:rsid w:val="61877058"/>
    <w:rsid w:val="618F3CAF"/>
    <w:rsid w:val="618F511D"/>
    <w:rsid w:val="61982FC9"/>
    <w:rsid w:val="619D76F0"/>
    <w:rsid w:val="61A578A0"/>
    <w:rsid w:val="61AA6A18"/>
    <w:rsid w:val="61AB1CA9"/>
    <w:rsid w:val="61B8130F"/>
    <w:rsid w:val="61C7670E"/>
    <w:rsid w:val="61D102CD"/>
    <w:rsid w:val="61E64F5C"/>
    <w:rsid w:val="61EA2D3F"/>
    <w:rsid w:val="61ED7541"/>
    <w:rsid w:val="61F32456"/>
    <w:rsid w:val="61F507EA"/>
    <w:rsid w:val="61F74C24"/>
    <w:rsid w:val="62066181"/>
    <w:rsid w:val="62083044"/>
    <w:rsid w:val="62084BBA"/>
    <w:rsid w:val="620E7C4B"/>
    <w:rsid w:val="62110EF2"/>
    <w:rsid w:val="621368F0"/>
    <w:rsid w:val="62177F62"/>
    <w:rsid w:val="6221152F"/>
    <w:rsid w:val="62412709"/>
    <w:rsid w:val="624308F5"/>
    <w:rsid w:val="624E7BD0"/>
    <w:rsid w:val="624F7DE9"/>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35154"/>
    <w:rsid w:val="636664C2"/>
    <w:rsid w:val="63683EDA"/>
    <w:rsid w:val="636B5E9C"/>
    <w:rsid w:val="63733823"/>
    <w:rsid w:val="63740747"/>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E58AB"/>
    <w:rsid w:val="64290E1E"/>
    <w:rsid w:val="64316EE4"/>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1D2C"/>
    <w:rsid w:val="659D2B39"/>
    <w:rsid w:val="659D6D72"/>
    <w:rsid w:val="65A70EF6"/>
    <w:rsid w:val="65AB1D23"/>
    <w:rsid w:val="65AF68E8"/>
    <w:rsid w:val="65D04DB0"/>
    <w:rsid w:val="65D31CBC"/>
    <w:rsid w:val="65DC0DC4"/>
    <w:rsid w:val="65DC667F"/>
    <w:rsid w:val="65E13AA0"/>
    <w:rsid w:val="65EF3499"/>
    <w:rsid w:val="65F21931"/>
    <w:rsid w:val="65F8457B"/>
    <w:rsid w:val="66001E19"/>
    <w:rsid w:val="66142811"/>
    <w:rsid w:val="66257927"/>
    <w:rsid w:val="662A49D9"/>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D142EA"/>
    <w:rsid w:val="66E63F8F"/>
    <w:rsid w:val="66ED6435"/>
    <w:rsid w:val="66F806B8"/>
    <w:rsid w:val="66F922F3"/>
    <w:rsid w:val="66FF664B"/>
    <w:rsid w:val="67071B76"/>
    <w:rsid w:val="67082A65"/>
    <w:rsid w:val="670C5315"/>
    <w:rsid w:val="671123B2"/>
    <w:rsid w:val="67122717"/>
    <w:rsid w:val="67147592"/>
    <w:rsid w:val="671A3B30"/>
    <w:rsid w:val="671B1B90"/>
    <w:rsid w:val="671B55F3"/>
    <w:rsid w:val="671D0783"/>
    <w:rsid w:val="6726021E"/>
    <w:rsid w:val="672915D1"/>
    <w:rsid w:val="672C4366"/>
    <w:rsid w:val="6736595B"/>
    <w:rsid w:val="673F439C"/>
    <w:rsid w:val="673F6043"/>
    <w:rsid w:val="67473121"/>
    <w:rsid w:val="67491781"/>
    <w:rsid w:val="674B18FB"/>
    <w:rsid w:val="674B4D84"/>
    <w:rsid w:val="674C5C33"/>
    <w:rsid w:val="67595E9D"/>
    <w:rsid w:val="676E762F"/>
    <w:rsid w:val="677E499B"/>
    <w:rsid w:val="67890D24"/>
    <w:rsid w:val="67930218"/>
    <w:rsid w:val="6796398B"/>
    <w:rsid w:val="67967040"/>
    <w:rsid w:val="67A11539"/>
    <w:rsid w:val="67A15BDF"/>
    <w:rsid w:val="67A74420"/>
    <w:rsid w:val="67B42577"/>
    <w:rsid w:val="67C06E5D"/>
    <w:rsid w:val="67E91696"/>
    <w:rsid w:val="67E97355"/>
    <w:rsid w:val="67ED3053"/>
    <w:rsid w:val="67F13ECC"/>
    <w:rsid w:val="67FA5B6F"/>
    <w:rsid w:val="680A6427"/>
    <w:rsid w:val="681B38A4"/>
    <w:rsid w:val="681D421C"/>
    <w:rsid w:val="682656AF"/>
    <w:rsid w:val="68360D3C"/>
    <w:rsid w:val="683930E2"/>
    <w:rsid w:val="683C0C8E"/>
    <w:rsid w:val="68405D25"/>
    <w:rsid w:val="684F6E3F"/>
    <w:rsid w:val="68547DBB"/>
    <w:rsid w:val="68557180"/>
    <w:rsid w:val="68585CD9"/>
    <w:rsid w:val="68630D34"/>
    <w:rsid w:val="6869372C"/>
    <w:rsid w:val="68736B47"/>
    <w:rsid w:val="688A194A"/>
    <w:rsid w:val="688C5D93"/>
    <w:rsid w:val="68902745"/>
    <w:rsid w:val="68B0668D"/>
    <w:rsid w:val="68B63481"/>
    <w:rsid w:val="68CE1AE7"/>
    <w:rsid w:val="68CF496F"/>
    <w:rsid w:val="68D73767"/>
    <w:rsid w:val="68DB18FA"/>
    <w:rsid w:val="68DE2191"/>
    <w:rsid w:val="68E87706"/>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910008"/>
    <w:rsid w:val="6998738B"/>
    <w:rsid w:val="69A845E1"/>
    <w:rsid w:val="69B57F8E"/>
    <w:rsid w:val="69B71426"/>
    <w:rsid w:val="69B762B5"/>
    <w:rsid w:val="69BD3A29"/>
    <w:rsid w:val="69C543D9"/>
    <w:rsid w:val="69CA35DB"/>
    <w:rsid w:val="69DC4E1A"/>
    <w:rsid w:val="69DD1ABF"/>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505B4"/>
    <w:rsid w:val="6ACB27E0"/>
    <w:rsid w:val="6AEB27DC"/>
    <w:rsid w:val="6AF57477"/>
    <w:rsid w:val="6AF80474"/>
    <w:rsid w:val="6B072958"/>
    <w:rsid w:val="6B0970A5"/>
    <w:rsid w:val="6B0D31B4"/>
    <w:rsid w:val="6B0D740F"/>
    <w:rsid w:val="6B0E6561"/>
    <w:rsid w:val="6B1776C1"/>
    <w:rsid w:val="6B183FDA"/>
    <w:rsid w:val="6B1D394F"/>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43A9B"/>
    <w:rsid w:val="6C07004F"/>
    <w:rsid w:val="6C0E56EA"/>
    <w:rsid w:val="6C1108A2"/>
    <w:rsid w:val="6C1366EB"/>
    <w:rsid w:val="6C1E4722"/>
    <w:rsid w:val="6C1F1739"/>
    <w:rsid w:val="6C2037A5"/>
    <w:rsid w:val="6C282212"/>
    <w:rsid w:val="6C2A7F81"/>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DE5884"/>
    <w:rsid w:val="6CE224A9"/>
    <w:rsid w:val="6CE24404"/>
    <w:rsid w:val="6CE80688"/>
    <w:rsid w:val="6CE94C7B"/>
    <w:rsid w:val="6CEA3704"/>
    <w:rsid w:val="6CF87280"/>
    <w:rsid w:val="6CFB7D4E"/>
    <w:rsid w:val="6CFD55EF"/>
    <w:rsid w:val="6D0471B7"/>
    <w:rsid w:val="6D0A6701"/>
    <w:rsid w:val="6D0D5442"/>
    <w:rsid w:val="6D156E90"/>
    <w:rsid w:val="6D18789A"/>
    <w:rsid w:val="6D1D5966"/>
    <w:rsid w:val="6D2476BD"/>
    <w:rsid w:val="6D2B77DD"/>
    <w:rsid w:val="6D416577"/>
    <w:rsid w:val="6D4421F3"/>
    <w:rsid w:val="6D551EC4"/>
    <w:rsid w:val="6D58029B"/>
    <w:rsid w:val="6D632E83"/>
    <w:rsid w:val="6D6F091A"/>
    <w:rsid w:val="6D7D4964"/>
    <w:rsid w:val="6D7E7BAE"/>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323BA"/>
    <w:rsid w:val="6E9D1E53"/>
    <w:rsid w:val="6EB776F8"/>
    <w:rsid w:val="6EC7631D"/>
    <w:rsid w:val="6ECB21BD"/>
    <w:rsid w:val="6ED53E24"/>
    <w:rsid w:val="6EE04EB7"/>
    <w:rsid w:val="6EE26D9C"/>
    <w:rsid w:val="6EE33B71"/>
    <w:rsid w:val="6EEA0A26"/>
    <w:rsid w:val="6EEA0C1E"/>
    <w:rsid w:val="6EEF2166"/>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CB5E24"/>
    <w:rsid w:val="6FE201A5"/>
    <w:rsid w:val="6FE677C4"/>
    <w:rsid w:val="6FE71701"/>
    <w:rsid w:val="6FE75A19"/>
    <w:rsid w:val="6FF35734"/>
    <w:rsid w:val="6FF90640"/>
    <w:rsid w:val="6FFB02BF"/>
    <w:rsid w:val="6FFB2DF2"/>
    <w:rsid w:val="700D4EDF"/>
    <w:rsid w:val="701A33A7"/>
    <w:rsid w:val="702150F1"/>
    <w:rsid w:val="702D0D4E"/>
    <w:rsid w:val="702D5FF0"/>
    <w:rsid w:val="703740FE"/>
    <w:rsid w:val="703C5BFF"/>
    <w:rsid w:val="703F105D"/>
    <w:rsid w:val="70477D2F"/>
    <w:rsid w:val="704845F6"/>
    <w:rsid w:val="70491A7E"/>
    <w:rsid w:val="704A0D0D"/>
    <w:rsid w:val="704E23D7"/>
    <w:rsid w:val="706864A2"/>
    <w:rsid w:val="707671C1"/>
    <w:rsid w:val="70774341"/>
    <w:rsid w:val="707816D8"/>
    <w:rsid w:val="707A6422"/>
    <w:rsid w:val="708329F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F22B34"/>
    <w:rsid w:val="71067CCD"/>
    <w:rsid w:val="7110784E"/>
    <w:rsid w:val="71253FBA"/>
    <w:rsid w:val="713A4DEF"/>
    <w:rsid w:val="713A6470"/>
    <w:rsid w:val="713F01DB"/>
    <w:rsid w:val="714472D9"/>
    <w:rsid w:val="71553C77"/>
    <w:rsid w:val="7155673F"/>
    <w:rsid w:val="7161653D"/>
    <w:rsid w:val="71652E31"/>
    <w:rsid w:val="716972DE"/>
    <w:rsid w:val="716B5019"/>
    <w:rsid w:val="71715EC0"/>
    <w:rsid w:val="71721BB8"/>
    <w:rsid w:val="71792B6D"/>
    <w:rsid w:val="71822DC8"/>
    <w:rsid w:val="7182595A"/>
    <w:rsid w:val="7192581E"/>
    <w:rsid w:val="719453E4"/>
    <w:rsid w:val="719D66C8"/>
    <w:rsid w:val="71AB51EE"/>
    <w:rsid w:val="71BF2378"/>
    <w:rsid w:val="71E100E9"/>
    <w:rsid w:val="71EA2FC4"/>
    <w:rsid w:val="71EA5E90"/>
    <w:rsid w:val="71EE2B55"/>
    <w:rsid w:val="71F72A38"/>
    <w:rsid w:val="71FE3E5F"/>
    <w:rsid w:val="720040E9"/>
    <w:rsid w:val="72074550"/>
    <w:rsid w:val="72094611"/>
    <w:rsid w:val="720B19D1"/>
    <w:rsid w:val="720B6DA8"/>
    <w:rsid w:val="720D7723"/>
    <w:rsid w:val="721434E3"/>
    <w:rsid w:val="721F3D0A"/>
    <w:rsid w:val="722E26AC"/>
    <w:rsid w:val="722E59CC"/>
    <w:rsid w:val="72310BD0"/>
    <w:rsid w:val="723C3EA9"/>
    <w:rsid w:val="723D275D"/>
    <w:rsid w:val="724908EA"/>
    <w:rsid w:val="72516C3F"/>
    <w:rsid w:val="7258546A"/>
    <w:rsid w:val="726151CF"/>
    <w:rsid w:val="726169B9"/>
    <w:rsid w:val="726175A4"/>
    <w:rsid w:val="72622446"/>
    <w:rsid w:val="7264039B"/>
    <w:rsid w:val="72750113"/>
    <w:rsid w:val="72781644"/>
    <w:rsid w:val="727B4142"/>
    <w:rsid w:val="727D6910"/>
    <w:rsid w:val="72904AA0"/>
    <w:rsid w:val="72A733D0"/>
    <w:rsid w:val="72AC0B5F"/>
    <w:rsid w:val="72B148D9"/>
    <w:rsid w:val="72B20BCC"/>
    <w:rsid w:val="72B66B9A"/>
    <w:rsid w:val="72B752C0"/>
    <w:rsid w:val="72BE2002"/>
    <w:rsid w:val="72BF286C"/>
    <w:rsid w:val="72C60382"/>
    <w:rsid w:val="72D1181A"/>
    <w:rsid w:val="72D2463B"/>
    <w:rsid w:val="72D570A9"/>
    <w:rsid w:val="72DA3B2B"/>
    <w:rsid w:val="72DA420C"/>
    <w:rsid w:val="72E05576"/>
    <w:rsid w:val="72E866BD"/>
    <w:rsid w:val="72F23C4A"/>
    <w:rsid w:val="72F54159"/>
    <w:rsid w:val="731A376F"/>
    <w:rsid w:val="731B31BB"/>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82880"/>
    <w:rsid w:val="74461949"/>
    <w:rsid w:val="74555490"/>
    <w:rsid w:val="74666B79"/>
    <w:rsid w:val="746E4951"/>
    <w:rsid w:val="74732C8F"/>
    <w:rsid w:val="747E7CD4"/>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64CF5"/>
    <w:rsid w:val="74FF0307"/>
    <w:rsid w:val="750223BA"/>
    <w:rsid w:val="750A0624"/>
    <w:rsid w:val="750F5823"/>
    <w:rsid w:val="75105C9A"/>
    <w:rsid w:val="7517521C"/>
    <w:rsid w:val="75181D72"/>
    <w:rsid w:val="75186062"/>
    <w:rsid w:val="751D79C1"/>
    <w:rsid w:val="751F3D60"/>
    <w:rsid w:val="752503A2"/>
    <w:rsid w:val="752B0E49"/>
    <w:rsid w:val="753211D3"/>
    <w:rsid w:val="754055E2"/>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83329"/>
    <w:rsid w:val="75D36549"/>
    <w:rsid w:val="75D9441C"/>
    <w:rsid w:val="75E72869"/>
    <w:rsid w:val="75EF05AB"/>
    <w:rsid w:val="75F640F4"/>
    <w:rsid w:val="75F90B3C"/>
    <w:rsid w:val="76021ACA"/>
    <w:rsid w:val="76090CA7"/>
    <w:rsid w:val="761C51E9"/>
    <w:rsid w:val="761E7BD4"/>
    <w:rsid w:val="762E25A8"/>
    <w:rsid w:val="763A574B"/>
    <w:rsid w:val="7645107B"/>
    <w:rsid w:val="7658118F"/>
    <w:rsid w:val="765834E9"/>
    <w:rsid w:val="766948B0"/>
    <w:rsid w:val="766C44F4"/>
    <w:rsid w:val="766D53BF"/>
    <w:rsid w:val="767107D4"/>
    <w:rsid w:val="76815181"/>
    <w:rsid w:val="768745CD"/>
    <w:rsid w:val="768B155B"/>
    <w:rsid w:val="768B4024"/>
    <w:rsid w:val="769103B9"/>
    <w:rsid w:val="76946515"/>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2F55B2"/>
    <w:rsid w:val="7733466E"/>
    <w:rsid w:val="77462083"/>
    <w:rsid w:val="77465974"/>
    <w:rsid w:val="774D3C2D"/>
    <w:rsid w:val="77505770"/>
    <w:rsid w:val="775116E2"/>
    <w:rsid w:val="7759379D"/>
    <w:rsid w:val="775A54FA"/>
    <w:rsid w:val="77656769"/>
    <w:rsid w:val="77686C7A"/>
    <w:rsid w:val="77753257"/>
    <w:rsid w:val="77766C2B"/>
    <w:rsid w:val="77891E89"/>
    <w:rsid w:val="779338FF"/>
    <w:rsid w:val="77935380"/>
    <w:rsid w:val="779D3992"/>
    <w:rsid w:val="77A16874"/>
    <w:rsid w:val="77A67B1B"/>
    <w:rsid w:val="77B135B8"/>
    <w:rsid w:val="77B51B62"/>
    <w:rsid w:val="77C22CB8"/>
    <w:rsid w:val="77C31373"/>
    <w:rsid w:val="77C93714"/>
    <w:rsid w:val="77CB403E"/>
    <w:rsid w:val="77D2224F"/>
    <w:rsid w:val="77DB7463"/>
    <w:rsid w:val="77EE2F50"/>
    <w:rsid w:val="77EF6D1F"/>
    <w:rsid w:val="77F07FBB"/>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C1CE6"/>
    <w:rsid w:val="78B23C5C"/>
    <w:rsid w:val="78B75C8E"/>
    <w:rsid w:val="78C110E2"/>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2D3324"/>
    <w:rsid w:val="79301FB2"/>
    <w:rsid w:val="794A705D"/>
    <w:rsid w:val="795D061C"/>
    <w:rsid w:val="79650117"/>
    <w:rsid w:val="797031C3"/>
    <w:rsid w:val="79710BD9"/>
    <w:rsid w:val="7974330B"/>
    <w:rsid w:val="7978297F"/>
    <w:rsid w:val="79793994"/>
    <w:rsid w:val="797B4475"/>
    <w:rsid w:val="79825A8B"/>
    <w:rsid w:val="79B7133F"/>
    <w:rsid w:val="79B963A4"/>
    <w:rsid w:val="79BA2F94"/>
    <w:rsid w:val="79BC264E"/>
    <w:rsid w:val="79C76293"/>
    <w:rsid w:val="79E57E94"/>
    <w:rsid w:val="79E6205E"/>
    <w:rsid w:val="79E67EB2"/>
    <w:rsid w:val="79E72FBE"/>
    <w:rsid w:val="79E7444C"/>
    <w:rsid w:val="79EC67AF"/>
    <w:rsid w:val="79EE7B9C"/>
    <w:rsid w:val="7A061B69"/>
    <w:rsid w:val="7A0C2A78"/>
    <w:rsid w:val="7A0D0808"/>
    <w:rsid w:val="7A3A77F5"/>
    <w:rsid w:val="7A425F97"/>
    <w:rsid w:val="7A4821BB"/>
    <w:rsid w:val="7A486959"/>
    <w:rsid w:val="7A49720A"/>
    <w:rsid w:val="7A4C4464"/>
    <w:rsid w:val="7A4C67A1"/>
    <w:rsid w:val="7A4C6804"/>
    <w:rsid w:val="7A4E7DA7"/>
    <w:rsid w:val="7A4F7D90"/>
    <w:rsid w:val="7A500206"/>
    <w:rsid w:val="7A534E94"/>
    <w:rsid w:val="7A5619B9"/>
    <w:rsid w:val="7A5C28B4"/>
    <w:rsid w:val="7A5C303F"/>
    <w:rsid w:val="7A6C21C2"/>
    <w:rsid w:val="7A767354"/>
    <w:rsid w:val="7A7A523B"/>
    <w:rsid w:val="7A8242B4"/>
    <w:rsid w:val="7A845059"/>
    <w:rsid w:val="7A8C4073"/>
    <w:rsid w:val="7A9D6337"/>
    <w:rsid w:val="7AA00320"/>
    <w:rsid w:val="7AA33F9C"/>
    <w:rsid w:val="7AA34E89"/>
    <w:rsid w:val="7AA444FF"/>
    <w:rsid w:val="7AA924EB"/>
    <w:rsid w:val="7AAE73F4"/>
    <w:rsid w:val="7AB1224E"/>
    <w:rsid w:val="7AB631A8"/>
    <w:rsid w:val="7ABA2E49"/>
    <w:rsid w:val="7ABE2243"/>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F146B"/>
    <w:rsid w:val="7B767D25"/>
    <w:rsid w:val="7B7A0D42"/>
    <w:rsid w:val="7B8E7955"/>
    <w:rsid w:val="7B907392"/>
    <w:rsid w:val="7B96461A"/>
    <w:rsid w:val="7B996B4F"/>
    <w:rsid w:val="7BA05FB0"/>
    <w:rsid w:val="7BA3783D"/>
    <w:rsid w:val="7BB87BCC"/>
    <w:rsid w:val="7BBE280A"/>
    <w:rsid w:val="7BC03276"/>
    <w:rsid w:val="7BC12229"/>
    <w:rsid w:val="7BCB652D"/>
    <w:rsid w:val="7BCE3168"/>
    <w:rsid w:val="7BF12C1D"/>
    <w:rsid w:val="7BF14DF9"/>
    <w:rsid w:val="7BF16B67"/>
    <w:rsid w:val="7BF417C7"/>
    <w:rsid w:val="7C0E462A"/>
    <w:rsid w:val="7C0F60D8"/>
    <w:rsid w:val="7C194153"/>
    <w:rsid w:val="7C1C5BF5"/>
    <w:rsid w:val="7C266365"/>
    <w:rsid w:val="7C2B192C"/>
    <w:rsid w:val="7C2F62FC"/>
    <w:rsid w:val="7C451D10"/>
    <w:rsid w:val="7C485D6C"/>
    <w:rsid w:val="7C4B3831"/>
    <w:rsid w:val="7C504CDB"/>
    <w:rsid w:val="7C5846F0"/>
    <w:rsid w:val="7C6B4DF6"/>
    <w:rsid w:val="7C6D370B"/>
    <w:rsid w:val="7C6E0DB4"/>
    <w:rsid w:val="7C745B15"/>
    <w:rsid w:val="7C7F1521"/>
    <w:rsid w:val="7C7F3842"/>
    <w:rsid w:val="7C956A9F"/>
    <w:rsid w:val="7C9952E7"/>
    <w:rsid w:val="7C9C0351"/>
    <w:rsid w:val="7C9F2FB0"/>
    <w:rsid w:val="7CA02A08"/>
    <w:rsid w:val="7CAF279A"/>
    <w:rsid w:val="7CB62F86"/>
    <w:rsid w:val="7CDC2354"/>
    <w:rsid w:val="7CE84DF9"/>
    <w:rsid w:val="7CF27393"/>
    <w:rsid w:val="7CF56037"/>
    <w:rsid w:val="7CFC12D6"/>
    <w:rsid w:val="7CFF3642"/>
    <w:rsid w:val="7CFF747B"/>
    <w:rsid w:val="7D03372B"/>
    <w:rsid w:val="7D055FEF"/>
    <w:rsid w:val="7D0B2DB7"/>
    <w:rsid w:val="7D0E3BE8"/>
    <w:rsid w:val="7D177444"/>
    <w:rsid w:val="7D1E2AB8"/>
    <w:rsid w:val="7D225ED9"/>
    <w:rsid w:val="7D3C199D"/>
    <w:rsid w:val="7D3D0619"/>
    <w:rsid w:val="7D493B8F"/>
    <w:rsid w:val="7D5407DB"/>
    <w:rsid w:val="7D5D0A96"/>
    <w:rsid w:val="7D684F15"/>
    <w:rsid w:val="7D6A7948"/>
    <w:rsid w:val="7D7C621E"/>
    <w:rsid w:val="7D7D2B7E"/>
    <w:rsid w:val="7D902263"/>
    <w:rsid w:val="7D971697"/>
    <w:rsid w:val="7DA04CA2"/>
    <w:rsid w:val="7DA66D82"/>
    <w:rsid w:val="7DB64F6F"/>
    <w:rsid w:val="7DCD7AF7"/>
    <w:rsid w:val="7DDB4B77"/>
    <w:rsid w:val="7DE844D5"/>
    <w:rsid w:val="7DF30062"/>
    <w:rsid w:val="7DF37C1A"/>
    <w:rsid w:val="7DF801A0"/>
    <w:rsid w:val="7DF87DEB"/>
    <w:rsid w:val="7E0A2072"/>
    <w:rsid w:val="7E332130"/>
    <w:rsid w:val="7E3E2869"/>
    <w:rsid w:val="7E3E3BAD"/>
    <w:rsid w:val="7E511360"/>
    <w:rsid w:val="7E5745A4"/>
    <w:rsid w:val="7E6347AB"/>
    <w:rsid w:val="7E705D8F"/>
    <w:rsid w:val="7E7D7FCC"/>
    <w:rsid w:val="7E903B5A"/>
    <w:rsid w:val="7E947D16"/>
    <w:rsid w:val="7E952C9D"/>
    <w:rsid w:val="7E9D7F57"/>
    <w:rsid w:val="7EA77CDE"/>
    <w:rsid w:val="7EA84C5B"/>
    <w:rsid w:val="7EA96520"/>
    <w:rsid w:val="7EB3726D"/>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Pr>
      <w:spacing w:before="120"/>
      <w:ind w:left="0" w:leftChars="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134"/>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3"/>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23"/>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pPr>
    <w:rPr>
      <w:rFonts w:eastAsia="MS Mincho"/>
      <w:b/>
      <w:szCs w:val="24"/>
      <w:lang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tabs>
        <w:tab w:val="left" w:pos="1080"/>
      </w:tabs>
      <w:spacing w:line="480" w:lineRule="auto"/>
    </w:pPr>
    <w:rPr>
      <w:sz w:val="24"/>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23"/>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23"/>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rPr>
      <w:rFonts w:eastAsia="宋体"/>
      <w:lang w:val="en-GB" w:eastAsia="en-US" w:bidi="ar-SA"/>
    </w:rPr>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6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67">
    <w:name w:val="15"/>
    <w:qFormat/>
    <w:uiPriority w:val="0"/>
    <w:rPr>
      <w:rFonts w:hint="default" w:ascii="CG Times (WN)" w:hAnsi="CG Times (WN)"/>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2448</Words>
  <Characters>13957</Characters>
  <Lines>116</Lines>
  <Paragraphs>32</Paragraphs>
  <TotalTime>4</TotalTime>
  <ScaleCrop>false</ScaleCrop>
  <LinksUpToDate>false</LinksUpToDate>
  <CharactersWithSpaces>16373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2023-02-11T14:08:00Z</dcterms:created>
  <dc:creator>ZTE</dc:creator>
  <cp:lastModifiedBy>ZTE</cp:lastModifiedBy>
  <cp:lastPrinted>2009-04-22T01:01:00Z</cp:lastPrinted>
  <dcterms:modified xsi:type="dcterms:W3CDTF">2023-05-12T09:46:14Z</dcterms:modified>
  <dc:title>3GPP TSG-RAN WG2</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y fmtid="{D5CDD505-2E9C-101B-9397-08002B2CF9AE}" pid="7" name="ICV">
    <vt:lpwstr>9136084C1672475490785C6C0DEADB7E</vt:lpwstr>
  </property>
</Properties>
</file>